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left="-46" w:leftChars="-472" w:right="-907" w:rightChars="-432" w:hanging="945" w:hangingChars="123"/>
        <w:jc w:val="center"/>
        <w:rPr>
          <w:rFonts w:ascii="方正小标宋_GBK" w:hAnsi="华文中宋" w:eastAsia="方正小标宋_GBK" w:cs="宋体"/>
          <w:b/>
          <w:color w:val="FF0000"/>
          <w:w w:val="80"/>
          <w:kern w:val="0"/>
          <w:sz w:val="96"/>
          <w:szCs w:val="80"/>
        </w:rPr>
      </w:pPr>
      <w:r>
        <w:rPr>
          <w:rFonts w:hint="eastAsia" w:ascii="方正小标宋_GBK" w:hAnsi="华文中宋" w:eastAsia="方正小标宋_GBK" w:cs="宋体"/>
          <w:b/>
          <w:color w:val="FF0000"/>
          <w:w w:val="80"/>
          <w:kern w:val="0"/>
          <w:sz w:val="96"/>
          <w:szCs w:val="80"/>
        </w:rPr>
        <w:t>长江师范学院教务处文件</w:t>
      </w:r>
    </w:p>
    <w:p>
      <w:pPr>
        <w:keepNext w:val="0"/>
        <w:keepLines w:val="0"/>
        <w:pageBreakBefore w:val="0"/>
        <w:widowControl w:val="0"/>
        <w:kinsoku/>
        <w:wordWrap/>
        <w:overflowPunct/>
        <w:topLinePunct w:val="0"/>
        <w:autoSpaceDE/>
        <w:autoSpaceDN/>
        <w:bidi w:val="0"/>
        <w:adjustRightInd/>
        <w:spacing w:beforeLines="50" w:afterLines="50" w:line="560" w:lineRule="exact"/>
        <w:jc w:val="center"/>
        <w:textAlignment w:val="auto"/>
        <w:rPr>
          <w:rFonts w:hint="eastAsia" w:eastAsia="方正小标宋_GBK"/>
          <w:b/>
          <w:sz w:val="44"/>
          <w:szCs w:val="44"/>
          <w:lang w:eastAsia="zh-CN"/>
        </w:rPr>
      </w:pPr>
      <w:r>
        <w:rPr>
          <w:rFonts w:hint="eastAsia" w:ascii="仿宋_GB2312" w:hAnsi="宋体" w:eastAsia="仿宋_GB2312"/>
          <w:sz w:val="32"/>
          <w:lang w:eastAsia="zh-CN"/>
        </w:rPr>
        <w:t>（</w:t>
      </w:r>
      <w:r>
        <w:rPr>
          <w:rFonts w:hint="eastAsia" w:ascii="仿宋_GB2312" w:hAnsi="宋体" w:eastAsia="仿宋_GB2312"/>
          <w:sz w:val="32"/>
        </w:rPr>
        <w:t>长师院教</w:t>
      </w:r>
      <w:r>
        <w:rPr>
          <w:rFonts w:hint="eastAsia" w:ascii="仿宋_GB2312" w:hAnsi="宋体" w:eastAsia="仿宋_GB2312"/>
          <w:sz w:val="32"/>
          <w:lang w:eastAsia="zh-CN"/>
        </w:rPr>
        <w:t>发</w:t>
      </w:r>
      <w:bookmarkStart w:id="0" w:name="_GoBack"/>
      <w:bookmarkEnd w:id="0"/>
      <w:r>
        <w:rPr>
          <w:rFonts w:hint="eastAsia" w:ascii="仿宋_GB2312" w:hAnsi="宋体" w:eastAsia="仿宋_GB2312"/>
          <w:sz w:val="32"/>
        </w:rPr>
        <w:t>〔</w:t>
      </w:r>
      <w:r>
        <w:rPr>
          <w:rFonts w:hint="eastAsia" w:ascii="仿宋_GB2312" w:hAnsi="宋体" w:eastAsia="仿宋_GB2312"/>
          <w:sz w:val="32"/>
          <w:lang w:val="en-US" w:eastAsia="zh-CN"/>
        </w:rPr>
        <w:t>2023</w:t>
      </w:r>
      <w:r>
        <w:rPr>
          <w:rFonts w:hint="eastAsia" w:ascii="仿宋_GB2312" w:hAnsi="宋体" w:eastAsia="仿宋_GB2312"/>
          <w:sz w:val="32"/>
        </w:rPr>
        <w:t>〕</w:t>
      </w:r>
      <w:r>
        <w:rPr>
          <w:rFonts w:hint="eastAsia" w:ascii="仿宋_GB2312" w:hAnsi="宋体" w:eastAsia="仿宋_GB2312"/>
          <w:sz w:val="32"/>
          <w:lang w:val="en-US" w:eastAsia="zh-CN"/>
        </w:rPr>
        <w:t>12</w:t>
      </w:r>
      <w:r>
        <w:rPr>
          <w:rFonts w:hint="eastAsia" w:ascii="仿宋_GB2312" w:hAnsi="宋体" w:eastAsia="仿宋_GB2312"/>
          <w:sz w:val="32"/>
        </w:rPr>
        <w:t>号</w:t>
      </w:r>
      <w:r>
        <w:rPr>
          <w:rFonts w:hint="eastAsia" w:ascii="仿宋_GB2312" w:hAnsi="宋体" w:eastAsia="仿宋_GB2312"/>
          <w:sz w:val="32"/>
          <w:lang w:eastAsia="zh-CN"/>
        </w:rPr>
        <w:t>）</w:t>
      </w:r>
    </w:p>
    <w:p>
      <w:pPr>
        <w:keepNext w:val="0"/>
        <w:keepLines w:val="0"/>
        <w:pageBreakBefore w:val="0"/>
        <w:widowControl w:val="0"/>
        <w:tabs>
          <w:tab w:val="center" w:pos="4415"/>
        </w:tabs>
        <w:kinsoku/>
        <w:wordWrap/>
        <w:overflowPunct/>
        <w:topLinePunct w:val="0"/>
        <w:autoSpaceDE/>
        <w:autoSpaceDN/>
        <w:bidi w:val="0"/>
        <w:adjustRightInd/>
        <w:snapToGrid w:val="0"/>
        <w:spacing w:line="560" w:lineRule="exact"/>
        <w:jc w:val="left"/>
        <w:textAlignment w:val="auto"/>
        <w:rPr>
          <w:rFonts w:hint="eastAsia" w:eastAsia="方正小标宋_GBK"/>
          <w:b/>
          <w:sz w:val="44"/>
          <w:szCs w:val="44"/>
          <w:lang w:eastAsia="zh-CN"/>
        </w:rPr>
      </w:pPr>
      <w:r>
        <w:rPr>
          <w:rFonts w:ascii="Calibri" w:hAnsi="Calibri"/>
          <w:b/>
          <w:sz w:val="36"/>
        </w:rPr>
        <w:pict>
          <v:shape id="直接箭头连接符 1" o:spid="_x0000_s2054" o:spt="32" type="#_x0000_t32" style="position:absolute;left:0pt;margin-left:13.6pt;margin-top:9.75pt;height:0pt;width:424.65pt;z-index:25166028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">
            <v:path arrowok="t"/>
            <v:fill on="f" focussize="0,0"/>
            <v:stroke weight="1.25pt" color="#FF0000"/>
            <v:imagedata o:title=""/>
            <o:lock v:ext="edit"/>
          </v:shape>
        </w:pict>
      </w:r>
      <w:r>
        <w:rPr>
          <w:rFonts w:ascii="仿宋_GB2312" w:eastAsia="仿宋_GB2312"/>
        </w:rPr>
        <w:pict>
          <v:line id="_x0000_s2052" o:spid="_x0000_s2052" o:spt="20" style="position:absolute;left:0pt;margin-left:0pt;margin-top:63.5pt;height:0pt;width:442.2pt;mso-wrap-distance-bottom:0pt;mso-wrap-distance-top:0pt;visibility:hidden;z-index:251659264;mso-width-relative:page;mso-height-relative:page;" coordsize="21600,21600" o:allowincell="f">
            <v:path arrowok="t"/>
            <v:fill focussize="0,0"/>
            <v:stroke color="#FF0000"/>
            <v:imagedata o:title=""/>
            <o:lock v:ext="edit"/>
            <w10:wrap type="topAndBottom"/>
          </v:line>
        </w:pic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eastAsia="方正小标宋_GBK"/>
          <w:b/>
          <w:sz w:val="44"/>
          <w:szCs w:val="44"/>
        </w:rPr>
      </w:pPr>
    </w:p>
    <w:p>
      <w:pPr>
        <w:spacing w:line="560" w:lineRule="exact"/>
        <w:jc w:val="center"/>
        <w:rPr>
          <w:rFonts w:eastAsia="方正小标宋_GBK"/>
          <w:b/>
          <w:sz w:val="44"/>
          <w:szCs w:val="44"/>
        </w:rPr>
      </w:pPr>
      <w:r>
        <w:rPr>
          <w:rFonts w:hint="eastAsia" w:eastAsia="方正小标宋_GBK"/>
          <w:b/>
          <w:sz w:val="44"/>
          <w:szCs w:val="44"/>
        </w:rPr>
        <w:t>长江师范学院</w:t>
      </w:r>
    </w:p>
    <w:p>
      <w:pPr>
        <w:spacing w:line="560" w:lineRule="exact"/>
        <w:jc w:val="center"/>
        <w:rPr>
          <w:rFonts w:eastAsia="方正小标宋_GBK"/>
          <w:b/>
          <w:sz w:val="44"/>
          <w:szCs w:val="44"/>
        </w:rPr>
      </w:pPr>
      <w:r>
        <w:rPr>
          <w:rFonts w:hint="eastAsia" w:eastAsia="方正小标宋_GBK"/>
          <w:b/>
          <w:sz w:val="44"/>
          <w:szCs w:val="44"/>
        </w:rPr>
        <w:t>通识教育选修课程管理办法</w:t>
      </w:r>
    </w:p>
    <w:p>
      <w:pPr>
        <w:spacing w:line="560" w:lineRule="exact"/>
        <w:jc w:val="center"/>
        <w:rPr>
          <w:rFonts w:eastAsia="方正黑体_GBK"/>
          <w:b/>
          <w:kern w:val="0"/>
          <w:sz w:val="32"/>
          <w:szCs w:val="32"/>
        </w:rPr>
      </w:pPr>
    </w:p>
    <w:p>
      <w:pPr>
        <w:spacing w:line="560" w:lineRule="exact"/>
        <w:jc w:val="center"/>
        <w:rPr>
          <w:rFonts w:eastAsia="方正黑体_GBK"/>
          <w:b/>
          <w:kern w:val="0"/>
          <w:sz w:val="32"/>
          <w:szCs w:val="32"/>
        </w:rPr>
      </w:pPr>
      <w:r>
        <w:rPr>
          <w:rFonts w:hint="eastAsia" w:eastAsia="方正黑体_GBK"/>
          <w:b/>
          <w:kern w:val="0"/>
          <w:sz w:val="32"/>
          <w:szCs w:val="32"/>
        </w:rPr>
        <w:t>第一章 总 则</w:t>
      </w:r>
    </w:p>
    <w:p>
      <w:pPr>
        <w:spacing w:line="560" w:lineRule="exact"/>
        <w:ind w:firstLine="640" w:firstLineChars="200"/>
        <w:rPr>
          <w:rFonts w:eastAsia="方正仿宋_GBK"/>
          <w:kern w:val="0"/>
          <w:sz w:val="32"/>
          <w:szCs w:val="32"/>
        </w:rPr>
      </w:pPr>
      <w:r>
        <w:rPr>
          <w:rFonts w:hint="eastAsia" w:eastAsia="方正仿宋_GBK"/>
          <w:b/>
          <w:kern w:val="0"/>
          <w:sz w:val="32"/>
          <w:szCs w:val="32"/>
        </w:rPr>
        <w:t>第一条</w:t>
      </w:r>
      <w:r>
        <w:rPr>
          <w:rFonts w:hint="eastAsia" w:eastAsia="方正仿宋_GBK"/>
          <w:kern w:val="0"/>
          <w:sz w:val="32"/>
          <w:szCs w:val="32"/>
        </w:rPr>
        <w:t xml:space="preserve"> 通识教育选修课程（以下简称“通选课”）作为学校本科教学课程体系的重要组成部分，既是完善学生知识结构、发展学生综合能力、培育学生健全品格、提高学生全面素养和社会适应能力的重要途径，也是落实“全要素育人、无边界学习、高质量成长”人才培养理念的有力保证。为规范学校通选课建设和管理，保证课程课堂教学质量，指导学生根据专业培养方案和发展需求完成修读计划，制订本办法。</w:t>
      </w:r>
    </w:p>
    <w:p>
      <w:pPr>
        <w:spacing w:line="560" w:lineRule="exact"/>
        <w:ind w:firstLine="640" w:firstLineChars="200"/>
        <w:rPr>
          <w:rFonts w:eastAsia="方正仿宋_GBK"/>
          <w:kern w:val="0"/>
          <w:sz w:val="32"/>
          <w:szCs w:val="32"/>
        </w:rPr>
      </w:pPr>
      <w:r>
        <w:rPr>
          <w:rFonts w:hint="eastAsia" w:eastAsia="方正仿宋_GBK"/>
          <w:b/>
          <w:kern w:val="0"/>
          <w:sz w:val="32"/>
          <w:szCs w:val="32"/>
        </w:rPr>
        <w:t>第二条</w:t>
      </w:r>
      <w:r>
        <w:rPr>
          <w:rFonts w:hint="eastAsia" w:eastAsia="方正仿宋_GBK"/>
          <w:kern w:val="0"/>
          <w:sz w:val="32"/>
          <w:szCs w:val="32"/>
        </w:rPr>
        <w:t xml:space="preserve"> 本办法适用于校内教师开设的通识教育选修课程。</w:t>
      </w:r>
    </w:p>
    <w:p>
      <w:pPr>
        <w:spacing w:line="560" w:lineRule="exact"/>
        <w:jc w:val="center"/>
        <w:rPr>
          <w:rFonts w:eastAsia="方正黑体_GBK"/>
          <w:b/>
          <w:kern w:val="0"/>
          <w:sz w:val="32"/>
          <w:szCs w:val="32"/>
        </w:rPr>
      </w:pPr>
      <w:r>
        <w:rPr>
          <w:rFonts w:hint="eastAsia" w:eastAsia="方正黑体_GBK"/>
          <w:b/>
          <w:kern w:val="0"/>
          <w:sz w:val="32"/>
          <w:szCs w:val="32"/>
        </w:rPr>
        <w:t>第二章 申报与入库</w:t>
      </w:r>
    </w:p>
    <w:p>
      <w:pPr>
        <w:spacing w:line="560" w:lineRule="exact"/>
        <w:ind w:firstLine="640" w:firstLineChars="200"/>
        <w:rPr>
          <w:rFonts w:eastAsia="方正仿宋_GBK"/>
          <w:kern w:val="0"/>
          <w:sz w:val="32"/>
          <w:szCs w:val="32"/>
        </w:rPr>
      </w:pPr>
      <w:r>
        <w:rPr>
          <w:rFonts w:hint="eastAsia" w:eastAsia="方正仿宋_GBK"/>
          <w:b/>
          <w:kern w:val="0"/>
          <w:sz w:val="32"/>
          <w:szCs w:val="32"/>
        </w:rPr>
        <w:t>第三条</w:t>
      </w:r>
      <w:r>
        <w:rPr>
          <w:rFonts w:hint="eastAsia" w:eastAsia="方正仿宋_GBK"/>
          <w:kern w:val="0"/>
          <w:sz w:val="32"/>
          <w:szCs w:val="32"/>
        </w:rPr>
        <w:t xml:space="preserve"> 通选课分为文学修养与艺术素养类课程（含公共艺术课程）、中华文化与历史传承类课程、自我认知与人生发展类课程、社会发展与世界视野类课程、自然科学与科技类课程、</w:t>
      </w:r>
      <w:r>
        <w:rPr>
          <w:rFonts w:eastAsia="方正仿宋_GBK"/>
          <w:kern w:val="0"/>
          <w:sz w:val="32"/>
          <w:szCs w:val="32"/>
        </w:rPr>
        <w:t>创新创业类</w:t>
      </w:r>
      <w:r>
        <w:rPr>
          <w:rFonts w:hint="eastAsia" w:eastAsia="方正仿宋_GBK"/>
          <w:kern w:val="0"/>
          <w:sz w:val="32"/>
          <w:szCs w:val="32"/>
        </w:rPr>
        <w:t>课程等六大类，并按照上级教育主管部门要求和学校课程教育目标进行动态调整。</w:t>
      </w:r>
    </w:p>
    <w:p>
      <w:pPr>
        <w:spacing w:line="560" w:lineRule="exact"/>
        <w:ind w:firstLine="640" w:firstLineChars="200"/>
        <w:rPr>
          <w:rFonts w:eastAsia="方正仿宋_GBK"/>
          <w:kern w:val="0"/>
          <w:sz w:val="32"/>
          <w:szCs w:val="32"/>
        </w:rPr>
      </w:pPr>
      <w:r>
        <w:rPr>
          <w:rFonts w:hint="eastAsia" w:eastAsia="方正仿宋_GBK"/>
          <w:b/>
          <w:kern w:val="0"/>
          <w:sz w:val="32"/>
          <w:szCs w:val="32"/>
        </w:rPr>
        <w:t>第四条</w:t>
      </w:r>
      <w:r>
        <w:rPr>
          <w:rFonts w:hint="eastAsia" w:eastAsia="方正仿宋_GBK"/>
          <w:kern w:val="0"/>
          <w:sz w:val="32"/>
          <w:szCs w:val="32"/>
        </w:rPr>
        <w:t xml:space="preserve"> 通选课实行申报-审核-入库制度，入库课程方能开课供学生选修。</w:t>
      </w:r>
    </w:p>
    <w:p>
      <w:pPr>
        <w:spacing w:line="560" w:lineRule="exact"/>
        <w:ind w:firstLine="640" w:firstLineChars="200"/>
        <w:rPr>
          <w:rFonts w:eastAsia="方正仿宋_GBK"/>
          <w:kern w:val="0"/>
          <w:sz w:val="32"/>
          <w:szCs w:val="32"/>
        </w:rPr>
      </w:pPr>
      <w:r>
        <w:rPr>
          <w:rFonts w:hint="eastAsia" w:eastAsia="方正仿宋_GBK"/>
          <w:b/>
          <w:kern w:val="0"/>
          <w:sz w:val="32"/>
          <w:szCs w:val="32"/>
        </w:rPr>
        <w:t>第五条</w:t>
      </w:r>
      <w:r>
        <w:rPr>
          <w:rFonts w:hint="eastAsia" w:eastAsia="方正仿宋_GBK"/>
          <w:kern w:val="0"/>
          <w:sz w:val="32"/>
          <w:szCs w:val="32"/>
        </w:rPr>
        <w:t xml:space="preserve"> 申报入库课程应符合以下要求：</w:t>
      </w:r>
    </w:p>
    <w:p>
      <w:pPr>
        <w:spacing w:line="560" w:lineRule="exact"/>
        <w:ind w:firstLine="640" w:firstLineChars="200"/>
        <w:rPr>
          <w:rFonts w:eastAsia="方正仿宋_GBK"/>
          <w:kern w:val="0"/>
          <w:sz w:val="32"/>
          <w:szCs w:val="32"/>
        </w:rPr>
      </w:pPr>
      <w:r>
        <w:rPr>
          <w:rFonts w:hint="eastAsia" w:eastAsia="方正仿宋_GBK"/>
          <w:kern w:val="0"/>
          <w:sz w:val="32"/>
          <w:szCs w:val="32"/>
        </w:rPr>
        <w:t>（一）符合通识教育理念，注重学科交叉互融，具有普适性、多元性，能适应跨学院、跨专业学生选修；</w:t>
      </w:r>
    </w:p>
    <w:p>
      <w:pPr>
        <w:spacing w:line="560" w:lineRule="exact"/>
        <w:ind w:firstLine="640" w:firstLineChars="200"/>
        <w:rPr>
          <w:rFonts w:eastAsia="方正仿宋_GBK"/>
          <w:kern w:val="0"/>
          <w:sz w:val="32"/>
          <w:szCs w:val="32"/>
        </w:rPr>
      </w:pPr>
      <w:r>
        <w:rPr>
          <w:rFonts w:hint="eastAsia" w:eastAsia="方正仿宋_GBK"/>
          <w:kern w:val="0"/>
          <w:sz w:val="32"/>
          <w:szCs w:val="32"/>
        </w:rPr>
        <w:t>（二）坚持育人导向，突出价值引领，激发学生学习内在动力；</w:t>
      </w:r>
    </w:p>
    <w:p>
      <w:pPr>
        <w:spacing w:line="560" w:lineRule="exact"/>
        <w:ind w:firstLine="640" w:firstLineChars="200"/>
        <w:rPr>
          <w:rFonts w:eastAsia="方正仿宋_GBK"/>
          <w:kern w:val="0"/>
          <w:sz w:val="32"/>
          <w:szCs w:val="32"/>
        </w:rPr>
      </w:pPr>
      <w:r>
        <w:rPr>
          <w:rFonts w:hint="eastAsia" w:eastAsia="方正仿宋_GBK"/>
          <w:kern w:val="0"/>
          <w:sz w:val="32"/>
          <w:szCs w:val="32"/>
        </w:rPr>
        <w:t>（三）有利于启迪思路、培养学生的思辨能力，使学习成为养成创造性思维的过程，培育人文精神与科学精神，提升思考批判、交流合作与开拓创新的能力；</w:t>
      </w:r>
    </w:p>
    <w:p>
      <w:pPr>
        <w:spacing w:line="560" w:lineRule="exact"/>
        <w:ind w:firstLine="640" w:firstLineChars="200"/>
        <w:rPr>
          <w:rFonts w:eastAsia="方正仿宋_GBK"/>
          <w:kern w:val="0"/>
          <w:sz w:val="32"/>
          <w:szCs w:val="32"/>
        </w:rPr>
      </w:pPr>
      <w:r>
        <w:rPr>
          <w:rFonts w:hint="eastAsia" w:eastAsia="方正仿宋_GBK"/>
          <w:kern w:val="0"/>
          <w:sz w:val="32"/>
          <w:szCs w:val="32"/>
        </w:rPr>
        <w:t>（四）推进教师教学科研成果转换，结合学科前沿，让学生了解产业新特点、新业态，行业新成果、新趋势；</w:t>
      </w:r>
    </w:p>
    <w:p>
      <w:pPr>
        <w:spacing w:line="560" w:lineRule="exact"/>
        <w:ind w:firstLine="640" w:firstLineChars="200"/>
        <w:rPr>
          <w:rFonts w:eastAsia="方正仿宋_GBK"/>
          <w:kern w:val="0"/>
          <w:sz w:val="32"/>
          <w:szCs w:val="32"/>
          <w:highlight w:val="yellow"/>
        </w:rPr>
      </w:pPr>
      <w:r>
        <w:rPr>
          <w:rFonts w:hint="eastAsia" w:eastAsia="方正仿宋_GBK"/>
          <w:kern w:val="0"/>
          <w:sz w:val="32"/>
          <w:szCs w:val="32"/>
        </w:rPr>
        <w:t>（五）积极引导学生研读经典文献，夯实学理之基；</w:t>
      </w:r>
    </w:p>
    <w:p>
      <w:pPr>
        <w:spacing w:line="560" w:lineRule="exact"/>
        <w:ind w:firstLine="640" w:firstLineChars="200"/>
        <w:rPr>
          <w:rFonts w:eastAsia="方正仿宋_GBK"/>
          <w:kern w:val="0"/>
          <w:sz w:val="32"/>
          <w:szCs w:val="32"/>
        </w:rPr>
      </w:pPr>
      <w:r>
        <w:rPr>
          <w:rFonts w:hint="eastAsia" w:eastAsia="方正仿宋_GBK"/>
          <w:kern w:val="0"/>
          <w:sz w:val="32"/>
          <w:szCs w:val="32"/>
        </w:rPr>
        <w:t>（六）课程大纲、讲义、课件等教学文档完备；</w:t>
      </w:r>
    </w:p>
    <w:p>
      <w:pPr>
        <w:spacing w:line="560" w:lineRule="exact"/>
        <w:ind w:firstLine="640" w:firstLineChars="200"/>
        <w:rPr>
          <w:rFonts w:eastAsia="方正仿宋_GBK"/>
          <w:kern w:val="0"/>
          <w:sz w:val="32"/>
          <w:szCs w:val="32"/>
        </w:rPr>
      </w:pPr>
      <w:r>
        <w:rPr>
          <w:rFonts w:hint="eastAsia" w:eastAsia="方正仿宋_GBK"/>
          <w:kern w:val="0"/>
          <w:sz w:val="32"/>
          <w:szCs w:val="32"/>
        </w:rPr>
        <w:t>（七）原则上按每 16 学时计 1 学分，一门课程一般不超过 2 学分。</w:t>
      </w:r>
    </w:p>
    <w:p>
      <w:pPr>
        <w:spacing w:line="560" w:lineRule="exact"/>
        <w:ind w:firstLine="640" w:firstLineChars="200"/>
        <w:rPr>
          <w:rFonts w:eastAsia="方正仿宋_GBK"/>
          <w:kern w:val="0"/>
          <w:sz w:val="32"/>
          <w:szCs w:val="32"/>
        </w:rPr>
      </w:pPr>
      <w:r>
        <w:rPr>
          <w:rFonts w:hint="eastAsia" w:eastAsia="方正仿宋_GBK"/>
          <w:b/>
          <w:kern w:val="0"/>
          <w:sz w:val="32"/>
          <w:szCs w:val="32"/>
        </w:rPr>
        <w:t>第六条</w:t>
      </w:r>
      <w:r>
        <w:rPr>
          <w:rFonts w:hint="eastAsia" w:eastAsia="方正仿宋_GBK"/>
          <w:kern w:val="0"/>
          <w:sz w:val="32"/>
          <w:szCs w:val="32"/>
        </w:rPr>
        <w:t xml:space="preserve"> 申报课程教师应具备以下条件：</w:t>
      </w:r>
    </w:p>
    <w:p>
      <w:pPr>
        <w:spacing w:line="560" w:lineRule="exact"/>
        <w:ind w:firstLine="640" w:firstLineChars="200"/>
        <w:rPr>
          <w:rFonts w:eastAsia="方正仿宋_GBK"/>
          <w:kern w:val="0"/>
          <w:sz w:val="32"/>
          <w:szCs w:val="32"/>
        </w:rPr>
      </w:pPr>
      <w:r>
        <w:rPr>
          <w:rFonts w:hint="eastAsia" w:eastAsia="方正仿宋_GBK"/>
          <w:kern w:val="0"/>
          <w:sz w:val="32"/>
          <w:szCs w:val="32"/>
        </w:rPr>
        <w:t>（一）具有正确的思想政治立场、积极向上的精神面貌；</w:t>
      </w:r>
    </w:p>
    <w:p>
      <w:pPr>
        <w:spacing w:line="560" w:lineRule="exact"/>
        <w:ind w:firstLine="640" w:firstLineChars="200"/>
        <w:rPr>
          <w:rFonts w:eastAsia="方正仿宋_GBK"/>
          <w:kern w:val="0"/>
          <w:sz w:val="32"/>
          <w:szCs w:val="32"/>
        </w:rPr>
      </w:pPr>
      <w:r>
        <w:rPr>
          <w:rFonts w:hint="eastAsia" w:eastAsia="方正仿宋_GBK"/>
          <w:kern w:val="0"/>
          <w:sz w:val="32"/>
          <w:szCs w:val="32"/>
        </w:rPr>
        <w:t>（二）持有教师资格证，具有中级及以上专业技术职称或硕士研究生及以上学历；</w:t>
      </w:r>
    </w:p>
    <w:p>
      <w:pPr>
        <w:spacing w:line="560" w:lineRule="exact"/>
        <w:ind w:firstLine="640" w:firstLineChars="200"/>
        <w:rPr>
          <w:rFonts w:eastAsia="方正仿宋_GBK"/>
          <w:kern w:val="0"/>
          <w:sz w:val="32"/>
          <w:szCs w:val="32"/>
        </w:rPr>
      </w:pPr>
      <w:r>
        <w:rPr>
          <w:rFonts w:hint="eastAsia" w:eastAsia="方正仿宋_GBK"/>
          <w:kern w:val="0"/>
          <w:sz w:val="32"/>
          <w:szCs w:val="32"/>
        </w:rPr>
        <w:t>（三）开过1门及以上相关课程，具有两年以上教学经历；</w:t>
      </w:r>
    </w:p>
    <w:p>
      <w:pPr>
        <w:spacing w:line="560" w:lineRule="exact"/>
        <w:ind w:firstLine="640" w:firstLineChars="200"/>
        <w:rPr>
          <w:rFonts w:eastAsia="方正仿宋_GBK"/>
          <w:kern w:val="0"/>
          <w:sz w:val="32"/>
          <w:szCs w:val="32"/>
        </w:rPr>
      </w:pPr>
      <w:r>
        <w:rPr>
          <w:rFonts w:hint="eastAsia" w:eastAsia="方正仿宋_GBK"/>
          <w:kern w:val="0"/>
          <w:sz w:val="32"/>
          <w:szCs w:val="32"/>
        </w:rPr>
        <w:t>（四）对所开课程有较深的研究，在相关领域有一定的学术成果或行业经历；</w:t>
      </w:r>
    </w:p>
    <w:p>
      <w:pPr>
        <w:spacing w:line="560" w:lineRule="exact"/>
        <w:ind w:firstLine="640" w:firstLineChars="200"/>
        <w:rPr>
          <w:rFonts w:eastAsia="方正仿宋_GBK"/>
          <w:kern w:val="0"/>
          <w:sz w:val="32"/>
          <w:szCs w:val="32"/>
        </w:rPr>
      </w:pPr>
      <w:r>
        <w:rPr>
          <w:rFonts w:hint="eastAsia" w:eastAsia="方正仿宋_GBK"/>
          <w:kern w:val="0"/>
          <w:sz w:val="32"/>
          <w:szCs w:val="32"/>
        </w:rPr>
        <w:t>（五）具备良好的课堂组织能力和使用新型教学手段的能力。</w:t>
      </w:r>
    </w:p>
    <w:p>
      <w:pPr>
        <w:spacing w:line="560" w:lineRule="exact"/>
        <w:ind w:firstLine="640" w:firstLineChars="200"/>
        <w:rPr>
          <w:rFonts w:eastAsia="方正仿宋_GBK"/>
          <w:kern w:val="0"/>
          <w:sz w:val="32"/>
          <w:szCs w:val="32"/>
        </w:rPr>
      </w:pPr>
      <w:r>
        <w:rPr>
          <w:rFonts w:hint="eastAsia" w:eastAsia="方正仿宋_GBK"/>
          <w:b/>
          <w:kern w:val="0"/>
          <w:sz w:val="32"/>
          <w:szCs w:val="32"/>
        </w:rPr>
        <w:t>第七条</w:t>
      </w:r>
      <w:r>
        <w:rPr>
          <w:rFonts w:hint="eastAsia" w:eastAsia="方正仿宋_GBK"/>
          <w:kern w:val="0"/>
          <w:sz w:val="32"/>
          <w:szCs w:val="32"/>
        </w:rPr>
        <w:t xml:space="preserve"> 通选课申报入库程序</w:t>
      </w:r>
    </w:p>
    <w:p>
      <w:pPr>
        <w:spacing w:line="560" w:lineRule="exact"/>
        <w:ind w:firstLine="640" w:firstLineChars="200"/>
        <w:rPr>
          <w:rFonts w:eastAsia="方正仿宋_GBK"/>
          <w:kern w:val="0"/>
          <w:sz w:val="32"/>
          <w:szCs w:val="32"/>
        </w:rPr>
      </w:pPr>
      <w:r>
        <w:rPr>
          <w:rFonts w:hint="eastAsia" w:eastAsia="方正仿宋_GBK"/>
          <w:kern w:val="0"/>
          <w:sz w:val="32"/>
          <w:szCs w:val="32"/>
        </w:rPr>
        <w:t>（一）教务处每学年春期期初面向全校发布通选课申报通知，常年接受教师申报；</w:t>
      </w:r>
    </w:p>
    <w:p>
      <w:pPr>
        <w:spacing w:line="560" w:lineRule="exact"/>
        <w:ind w:firstLine="640" w:firstLineChars="200"/>
        <w:rPr>
          <w:rFonts w:eastAsia="方正仿宋_GBK"/>
          <w:kern w:val="0"/>
          <w:sz w:val="32"/>
          <w:szCs w:val="32"/>
        </w:rPr>
      </w:pPr>
      <w:r>
        <w:rPr>
          <w:rFonts w:hint="eastAsia" w:eastAsia="方正仿宋_GBK"/>
          <w:kern w:val="0"/>
          <w:sz w:val="32"/>
          <w:szCs w:val="32"/>
        </w:rPr>
        <w:t>（二）申报教师填写《长江师范学院通识教育选修课申报表》，同时提供课程大纲、讲义、课件等完备的教学文档，向所在教学单位提出开课申请；</w:t>
      </w:r>
    </w:p>
    <w:p>
      <w:pPr>
        <w:spacing w:line="560" w:lineRule="exact"/>
        <w:ind w:firstLine="640" w:firstLineChars="200"/>
        <w:rPr>
          <w:rFonts w:eastAsia="方正仿宋_GBK"/>
          <w:kern w:val="0"/>
          <w:sz w:val="32"/>
          <w:szCs w:val="32"/>
        </w:rPr>
      </w:pPr>
      <w:r>
        <w:rPr>
          <w:rFonts w:hint="eastAsia" w:eastAsia="方正仿宋_GBK"/>
          <w:kern w:val="0"/>
          <w:sz w:val="32"/>
          <w:szCs w:val="32"/>
        </w:rPr>
        <w:t>（三）教学单位组织教学工作委员会对申请人的开新课资格、教学文档准备和教学水平进行审核，审核通过的通识教育选修课申报材料报教务处；</w:t>
      </w:r>
    </w:p>
    <w:p>
      <w:pPr>
        <w:spacing w:line="560" w:lineRule="exact"/>
        <w:ind w:firstLine="640" w:firstLineChars="200"/>
        <w:rPr>
          <w:rFonts w:eastAsia="方正仿宋_GBK"/>
          <w:kern w:val="0"/>
          <w:sz w:val="32"/>
          <w:szCs w:val="32"/>
        </w:rPr>
      </w:pPr>
      <w:r>
        <w:rPr>
          <w:rFonts w:hint="eastAsia" w:eastAsia="方正仿宋_GBK"/>
          <w:kern w:val="0"/>
          <w:sz w:val="32"/>
          <w:szCs w:val="32"/>
        </w:rPr>
        <w:t>（四）教务处于每年6月、12月组织学校课程与教材建设委员会对各教学单位提交的课程申报材料进行复核，并在教务处网站公布审核通过、准予入库的课程名单。</w:t>
      </w:r>
    </w:p>
    <w:p>
      <w:pPr>
        <w:spacing w:line="560" w:lineRule="exact"/>
        <w:jc w:val="center"/>
        <w:rPr>
          <w:rFonts w:eastAsia="方正仿宋_GBK"/>
          <w:kern w:val="0"/>
          <w:sz w:val="32"/>
          <w:szCs w:val="32"/>
          <w:highlight w:val="green"/>
        </w:rPr>
      </w:pPr>
      <w:r>
        <w:rPr>
          <w:rFonts w:hint="eastAsia" w:eastAsia="方正黑体_GBK"/>
          <w:b/>
          <w:kern w:val="0"/>
          <w:sz w:val="32"/>
          <w:szCs w:val="32"/>
        </w:rPr>
        <w:t>第三章 开课与选课</w:t>
      </w:r>
    </w:p>
    <w:p>
      <w:pPr>
        <w:spacing w:line="560" w:lineRule="exact"/>
        <w:ind w:firstLine="640" w:firstLineChars="200"/>
        <w:rPr>
          <w:rFonts w:eastAsia="方正仿宋_GBK"/>
          <w:kern w:val="0"/>
          <w:sz w:val="32"/>
          <w:szCs w:val="32"/>
          <w:highlight w:val="yellow"/>
        </w:rPr>
      </w:pPr>
      <w:r>
        <w:rPr>
          <w:rFonts w:hint="eastAsia" w:eastAsia="方正仿宋_GBK"/>
          <w:b/>
          <w:kern w:val="0"/>
          <w:sz w:val="32"/>
          <w:szCs w:val="32"/>
        </w:rPr>
        <w:t>第八条</w:t>
      </w:r>
      <w:r>
        <w:rPr>
          <w:rFonts w:hint="eastAsia" w:eastAsia="方正仿宋_GBK"/>
          <w:kern w:val="0"/>
          <w:sz w:val="32"/>
          <w:szCs w:val="32"/>
        </w:rPr>
        <w:t xml:space="preserve"> 各教学单位每学期第16周向教务处报送拟开课课程简介、任课教师、学时学分、限选条件、限选人数、考核方式等课程信息。教务处根据各教学单位报送通选课课程信息编制教学任务，编排课表开课。</w:t>
      </w:r>
    </w:p>
    <w:p>
      <w:pPr>
        <w:spacing w:line="560" w:lineRule="exact"/>
        <w:ind w:firstLine="640" w:firstLineChars="200"/>
        <w:rPr>
          <w:rFonts w:eastAsia="方正仿宋_GBK"/>
          <w:kern w:val="0"/>
          <w:sz w:val="32"/>
          <w:szCs w:val="32"/>
        </w:rPr>
      </w:pPr>
      <w:r>
        <w:rPr>
          <w:rFonts w:hint="eastAsia" w:eastAsia="方正仿宋_GBK"/>
          <w:b/>
          <w:kern w:val="0"/>
          <w:sz w:val="32"/>
          <w:szCs w:val="32"/>
        </w:rPr>
        <w:t>第九条</w:t>
      </w:r>
      <w:r>
        <w:rPr>
          <w:rFonts w:hint="eastAsia" w:eastAsia="方正仿宋_GBK"/>
          <w:kern w:val="0"/>
          <w:sz w:val="32"/>
          <w:szCs w:val="32"/>
        </w:rPr>
        <w:t xml:space="preserve"> 每学期期末组织学生选课，学生根据个人兴趣爱好及开课时间选课。通选课开班人数原则上不少于30人且不多于 90 人，选课人数不足下限的，取消开班。选中取消开班课程的学生，可到教务处申请改选其他课程，或后续学期选修。</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第十条</w:t>
      </w:r>
      <w:r>
        <w:rPr>
          <w:rFonts w:hint="eastAsia" w:eastAsia="方正仿宋_GBK"/>
          <w:kern w:val="0"/>
          <w:sz w:val="32"/>
          <w:szCs w:val="32"/>
        </w:rPr>
        <w:t xml:space="preserve"> 学生选课前需提前了解所在专业人才培养方案规定的通识教育选修课类别与学分要求，遵照学校教务处发布的选课通知，在规定的时间内进行选课。学生选修的线下通选课不少于3学分。</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第十一条</w:t>
      </w:r>
      <w:r>
        <w:rPr>
          <w:rFonts w:hint="eastAsia" w:eastAsia="方正仿宋_GBK"/>
          <w:kern w:val="0"/>
          <w:sz w:val="32"/>
          <w:szCs w:val="32"/>
        </w:rPr>
        <w:t xml:space="preserve"> 学生从第二学期开始选修通选课，原则上应在第六学期结束前完成培养方案规定的通选课修读任务。各教学单位应在第五学期期末核查学生通识教育选修课的学分完成情况。</w:t>
      </w:r>
    </w:p>
    <w:p>
      <w:pPr>
        <w:spacing w:line="560" w:lineRule="exact"/>
        <w:jc w:val="center"/>
        <w:rPr>
          <w:rFonts w:eastAsia="方正黑体_GBK"/>
          <w:b/>
          <w:kern w:val="0"/>
          <w:sz w:val="32"/>
          <w:szCs w:val="32"/>
        </w:rPr>
      </w:pPr>
      <w:r>
        <w:rPr>
          <w:rFonts w:hint="eastAsia" w:eastAsia="方正黑体_GBK"/>
          <w:b/>
          <w:kern w:val="0"/>
          <w:sz w:val="32"/>
          <w:szCs w:val="32"/>
        </w:rPr>
        <w:t>第四章 教学管理</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第十二条</w:t>
      </w:r>
      <w:r>
        <w:rPr>
          <w:rFonts w:hint="eastAsia" w:eastAsia="方正仿宋_GBK"/>
          <w:kern w:val="0"/>
          <w:sz w:val="32"/>
          <w:szCs w:val="32"/>
        </w:rPr>
        <w:t xml:space="preserve"> 各教学单位应当采取措施鼓励和支持本单位教师为全校本科生开设已入库通选课，其中公共艺术课程等人才培养方案有硬性要求的课程，开班数须达到学校规定的要求。</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第十三条</w:t>
      </w:r>
      <w:r>
        <w:rPr>
          <w:rFonts w:hint="eastAsia" w:eastAsia="方正仿宋_GBK"/>
          <w:kern w:val="0"/>
          <w:sz w:val="32"/>
          <w:szCs w:val="32"/>
        </w:rPr>
        <w:t xml:space="preserve"> 已经开设的通识课程，不得无故擅自停开。确有特殊情况需要停开或缓开的，任课教师应当提出书面申请，经所在单位分管领导同意后报教务处审批。 </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第十四条</w:t>
      </w:r>
      <w:r>
        <w:rPr>
          <w:rFonts w:hint="eastAsia" w:eastAsia="方正仿宋_GBK"/>
          <w:kern w:val="0"/>
          <w:sz w:val="32"/>
          <w:szCs w:val="32"/>
        </w:rPr>
        <w:t xml:space="preserve"> 为确保各选课时段班级数均衡，原则上由教务处统筹安排。选课开始后，原则上不再受理上课时间与上课地点的变更申请。</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第十五条</w:t>
      </w:r>
      <w:r>
        <w:rPr>
          <w:rFonts w:hint="eastAsia" w:eastAsia="方正仿宋_GBK"/>
          <w:kern w:val="0"/>
          <w:sz w:val="32"/>
          <w:szCs w:val="32"/>
        </w:rPr>
        <w:t xml:space="preserve"> 选课结束后，各教学单位组织任课教师做好上课准备。任课教师应严格遵守教学工作相关规定，按照上报的课程大纲与教学进度计划保质保量完成教学任务。</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第十六条</w:t>
      </w:r>
      <w:r>
        <w:rPr>
          <w:rFonts w:hint="eastAsia" w:eastAsia="方正仿宋_GBK"/>
          <w:kern w:val="0"/>
          <w:sz w:val="32"/>
          <w:szCs w:val="32"/>
        </w:rPr>
        <w:t xml:space="preserve"> 学校定期组织学生开展评教工作，并由教学督导对课堂教学进行不定期检查。评教满意度低、被认定存在问题的课程，须根据专家提出的意见整改后，方可参加下一学期通选课开课申报。连续2学期评教满意度低，或连续3学期不开课的通选课，自动退出通选课程库。</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第十七条</w:t>
      </w:r>
      <w:r>
        <w:rPr>
          <w:rFonts w:hint="eastAsia" w:eastAsia="方正仿宋_GBK"/>
          <w:kern w:val="0"/>
          <w:sz w:val="32"/>
          <w:szCs w:val="32"/>
        </w:rPr>
        <w:t xml:space="preserve"> 通选课成功开课的第1个教学周期，评教获良好及以上等级的课程，教学工作量按实际核算课时的1.5倍计算。</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第十八条</w:t>
      </w:r>
      <w:r>
        <w:rPr>
          <w:rFonts w:hint="eastAsia" w:eastAsia="方正仿宋_GBK"/>
          <w:kern w:val="0"/>
          <w:sz w:val="32"/>
          <w:szCs w:val="32"/>
        </w:rPr>
        <w:t xml:space="preserve"> 学生应遵守课堂教学纪律，积极参与课堂讨论。确有原因无法修习者，必须在选课阶段及时退选，不得随意挤占选课名额，否则将取消下一学期第一轮选课机会。课程不合格的学生，学校不组织统一补考，可重修或另修其它通选课。</w:t>
      </w:r>
    </w:p>
    <w:p>
      <w:pPr>
        <w:spacing w:line="560" w:lineRule="exact"/>
        <w:ind w:firstLine="640" w:firstLineChars="200"/>
        <w:rPr>
          <w:rFonts w:eastAsia="方正仿宋_GBK"/>
          <w:kern w:val="0"/>
          <w:sz w:val="32"/>
          <w:szCs w:val="32"/>
        </w:rPr>
      </w:pPr>
      <w:r>
        <w:rPr>
          <w:rFonts w:hint="eastAsia" w:eastAsia="方正仿宋_GBK"/>
          <w:b/>
          <w:kern w:val="0"/>
          <w:sz w:val="32"/>
          <w:szCs w:val="32"/>
        </w:rPr>
        <w:t>第十九条</w:t>
      </w:r>
      <w:r>
        <w:rPr>
          <w:rFonts w:hint="eastAsia" w:eastAsia="方正仿宋_GBK"/>
          <w:kern w:val="0"/>
          <w:sz w:val="32"/>
          <w:szCs w:val="32"/>
        </w:rPr>
        <w:t xml:space="preserve"> 通识教育选修课的考核要求与必修课相同。学生未按要求修满人才培养方案规定的通识教育选修课程学分，不予毕业。</w:t>
      </w:r>
    </w:p>
    <w:p>
      <w:pPr>
        <w:spacing w:line="560" w:lineRule="exact"/>
        <w:jc w:val="center"/>
        <w:rPr>
          <w:rFonts w:eastAsia="方正黑体_GBK"/>
          <w:b/>
          <w:kern w:val="0"/>
          <w:sz w:val="32"/>
          <w:szCs w:val="32"/>
        </w:rPr>
      </w:pPr>
      <w:r>
        <w:rPr>
          <w:rFonts w:hint="eastAsia" w:eastAsia="方正黑体_GBK"/>
          <w:b/>
          <w:kern w:val="0"/>
          <w:sz w:val="32"/>
          <w:szCs w:val="32"/>
        </w:rPr>
        <w:t>第五章 附则</w:t>
      </w:r>
    </w:p>
    <w:p>
      <w:pPr>
        <w:spacing w:line="560" w:lineRule="exact"/>
        <w:ind w:firstLine="640" w:firstLineChars="200"/>
        <w:rPr>
          <w:rFonts w:hint="eastAsia" w:eastAsia="方正仿宋_GBK"/>
          <w:sz w:val="32"/>
          <w:szCs w:val="32"/>
        </w:rPr>
      </w:pPr>
      <w:r>
        <w:rPr>
          <w:rFonts w:hint="eastAsia" w:eastAsia="方正仿宋_GBK"/>
          <w:b/>
          <w:kern w:val="0"/>
          <w:sz w:val="32"/>
          <w:szCs w:val="32"/>
        </w:rPr>
        <w:t>第二十条</w:t>
      </w:r>
      <w:r>
        <w:rPr>
          <w:rFonts w:hint="eastAsia" w:eastAsia="方正仿宋_GBK"/>
          <w:sz w:val="32"/>
          <w:szCs w:val="32"/>
        </w:rPr>
        <w:t xml:space="preserve"> 本办法由教务处负责解释，自发布之日起施行。</w:t>
      </w:r>
    </w:p>
    <w:p>
      <w:pPr>
        <w:spacing w:line="560" w:lineRule="exact"/>
        <w:ind w:firstLine="640" w:firstLineChars="200"/>
        <w:rPr>
          <w:rFonts w:hint="eastAsia" w:eastAsia="方正仿宋_GBK"/>
          <w:sz w:val="32"/>
          <w:szCs w:val="32"/>
        </w:rPr>
      </w:pPr>
    </w:p>
    <w:p>
      <w:pPr>
        <w:spacing w:line="560" w:lineRule="exact"/>
        <w:ind w:firstLine="640" w:firstLineChars="200"/>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spacing w:line="560" w:lineRule="exact"/>
        <w:rPr>
          <w:rFonts w:hint="eastAsia" w:eastAsia="方正仿宋_GBK"/>
          <w:sz w:val="32"/>
          <w:szCs w:val="32"/>
        </w:rPr>
      </w:pPr>
    </w:p>
    <w:p>
      <w:pPr>
        <w:widowControl w:val="0"/>
        <w:pBdr>
          <w:top w:val="single" w:color="auto" w:sz="4" w:space="1"/>
          <w:left w:val="none" w:color="auto" w:sz="0" w:space="4"/>
          <w:bottom w:val="single" w:color="auto" w:sz="4" w:space="1"/>
          <w:right w:val="none" w:color="auto" w:sz="0" w:space="4"/>
          <w:between w:val="none" w:color="auto" w:sz="0" w:space="0"/>
        </w:pBdr>
        <w:spacing w:line="560" w:lineRule="exact"/>
        <w:jc w:val="both"/>
        <w:rPr>
          <w:rFonts w:hint="default" w:eastAsia="方正仿宋_GBK"/>
          <w:sz w:val="32"/>
          <w:szCs w:val="32"/>
          <w:lang w:val="en-US" w:eastAsia="zh-CN"/>
        </w:rPr>
      </w:pPr>
      <w:r>
        <w:rPr>
          <w:rFonts w:hint="eastAsia" w:eastAsia="方正仿宋_GBK"/>
          <w:sz w:val="32"/>
          <w:szCs w:val="32"/>
          <w:lang w:eastAsia="zh-CN"/>
        </w:rPr>
        <w:t>长江师范学院教务处</w:t>
      </w:r>
      <w:r>
        <w:rPr>
          <w:rFonts w:hint="eastAsia" w:eastAsia="方正仿宋_GBK"/>
          <w:sz w:val="32"/>
          <w:szCs w:val="32"/>
          <w:lang w:val="en-US" w:eastAsia="zh-CN"/>
        </w:rPr>
        <w:t xml:space="preserve">                 2023年3月20日印发</w:t>
      </w:r>
    </w:p>
    <w:sectPr>
      <w:footerReference r:id="rId3" w:type="default"/>
      <w:footerReference r:id="rId4" w:type="even"/>
      <w:pgSz w:w="11906" w:h="16838"/>
      <w:pgMar w:top="2098" w:right="1474" w:bottom="1984" w:left="1588"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仿宋" w:hAnsi="仿宋" w:eastAsia="仿宋"/>
      </w:rPr>
    </w:pPr>
    <w:r>
      <w:rPr>
        <w:rFonts w:hint="eastAsia" w:ascii="仿宋" w:hAnsi="仿宋" w:eastAsia="仿宋"/>
        <w:sz w:val="28"/>
        <w:szCs w:val="28"/>
      </w:rPr>
      <w:fldChar w:fldCharType="begin"/>
    </w:r>
    <w:r>
      <w:rPr>
        <w:rFonts w:hint="eastAsia" w:ascii="仿宋" w:hAnsi="仿宋" w:eastAsia="仿宋"/>
        <w:sz w:val="28"/>
        <w:szCs w:val="28"/>
      </w:rPr>
      <w:instrText xml:space="preserve"> PAGE   \* MERGEFORMAT </w:instrText>
    </w:r>
    <w:r>
      <w:rPr>
        <w:rFonts w:hint="eastAsia"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2 -</w:t>
    </w:r>
    <w:r>
      <w:rPr>
        <w:rFonts w:hint="eastAsia"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仿宋" w:hAnsi="仿宋" w:eastAsia="仿宋"/>
      </w:rPr>
    </w:pPr>
    <w:r>
      <w:rPr>
        <w:rFonts w:hint="eastAsia" w:ascii="仿宋" w:hAnsi="仿宋" w:eastAsia="仿宋"/>
        <w:sz w:val="28"/>
        <w:szCs w:val="28"/>
      </w:rPr>
      <w:fldChar w:fldCharType="begin"/>
    </w:r>
    <w:r>
      <w:rPr>
        <w:rFonts w:hint="eastAsia" w:ascii="仿宋" w:hAnsi="仿宋" w:eastAsia="仿宋"/>
        <w:sz w:val="28"/>
        <w:szCs w:val="28"/>
      </w:rPr>
      <w:instrText xml:space="preserve">PAGE   \* MERGEFORMAT</w:instrText>
    </w:r>
    <w:r>
      <w:rPr>
        <w:rFonts w:hint="eastAsia"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2 -</w:t>
    </w:r>
    <w:r>
      <w:rPr>
        <w:rFonts w:hint="eastAsia" w:ascii="仿宋" w:hAnsi="仿宋" w:eastAsia="仿宋"/>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5NmYwMGM3NmEyYjc0Mzg3ZjA1MjI3OWJkODE2NzcifQ=="/>
  </w:docVars>
  <w:rsids>
    <w:rsidRoot w:val="000007BA"/>
    <w:rsid w:val="000007BA"/>
    <w:rsid w:val="00012D88"/>
    <w:rsid w:val="0002587B"/>
    <w:rsid w:val="00037514"/>
    <w:rsid w:val="000706BD"/>
    <w:rsid w:val="00074525"/>
    <w:rsid w:val="00081749"/>
    <w:rsid w:val="0008677A"/>
    <w:rsid w:val="000A7328"/>
    <w:rsid w:val="000B6A8C"/>
    <w:rsid w:val="000E6572"/>
    <w:rsid w:val="000F52C2"/>
    <w:rsid w:val="001211B4"/>
    <w:rsid w:val="00131CA6"/>
    <w:rsid w:val="0013517D"/>
    <w:rsid w:val="0016325B"/>
    <w:rsid w:val="00171B8C"/>
    <w:rsid w:val="00191435"/>
    <w:rsid w:val="001A0362"/>
    <w:rsid w:val="001A3F5E"/>
    <w:rsid w:val="001B42D9"/>
    <w:rsid w:val="001C1ACB"/>
    <w:rsid w:val="001D203D"/>
    <w:rsid w:val="001D3FD4"/>
    <w:rsid w:val="001F5577"/>
    <w:rsid w:val="00215877"/>
    <w:rsid w:val="002169BB"/>
    <w:rsid w:val="002352C8"/>
    <w:rsid w:val="002372D0"/>
    <w:rsid w:val="00256C8F"/>
    <w:rsid w:val="00260DDA"/>
    <w:rsid w:val="00264860"/>
    <w:rsid w:val="002736A4"/>
    <w:rsid w:val="00287468"/>
    <w:rsid w:val="002A0EFC"/>
    <w:rsid w:val="002B5F6D"/>
    <w:rsid w:val="002C0A3D"/>
    <w:rsid w:val="002C7D83"/>
    <w:rsid w:val="002D0AC7"/>
    <w:rsid w:val="002D43B1"/>
    <w:rsid w:val="002E5557"/>
    <w:rsid w:val="002E5B2E"/>
    <w:rsid w:val="002F726F"/>
    <w:rsid w:val="00301A7C"/>
    <w:rsid w:val="00305183"/>
    <w:rsid w:val="00314D2F"/>
    <w:rsid w:val="003221D1"/>
    <w:rsid w:val="00363A34"/>
    <w:rsid w:val="003B2761"/>
    <w:rsid w:val="003C24AC"/>
    <w:rsid w:val="003C7F7F"/>
    <w:rsid w:val="003E5502"/>
    <w:rsid w:val="003F0290"/>
    <w:rsid w:val="003F1EB9"/>
    <w:rsid w:val="003F6AD9"/>
    <w:rsid w:val="00413558"/>
    <w:rsid w:val="00426A6B"/>
    <w:rsid w:val="00436E4E"/>
    <w:rsid w:val="00440DE9"/>
    <w:rsid w:val="004452BD"/>
    <w:rsid w:val="00445F03"/>
    <w:rsid w:val="0045352C"/>
    <w:rsid w:val="00456DE2"/>
    <w:rsid w:val="00465EED"/>
    <w:rsid w:val="0049633C"/>
    <w:rsid w:val="004A2A32"/>
    <w:rsid w:val="004A4005"/>
    <w:rsid w:val="004A4B04"/>
    <w:rsid w:val="004B7801"/>
    <w:rsid w:val="004B7E05"/>
    <w:rsid w:val="004E424A"/>
    <w:rsid w:val="004E5766"/>
    <w:rsid w:val="004F3384"/>
    <w:rsid w:val="00502037"/>
    <w:rsid w:val="00510F51"/>
    <w:rsid w:val="00514F5B"/>
    <w:rsid w:val="005210DD"/>
    <w:rsid w:val="00544E64"/>
    <w:rsid w:val="00583CC4"/>
    <w:rsid w:val="00592569"/>
    <w:rsid w:val="00595C7B"/>
    <w:rsid w:val="005A2FCE"/>
    <w:rsid w:val="005D1488"/>
    <w:rsid w:val="005D1C2E"/>
    <w:rsid w:val="005F3456"/>
    <w:rsid w:val="005F6522"/>
    <w:rsid w:val="006070D4"/>
    <w:rsid w:val="006317FA"/>
    <w:rsid w:val="00640240"/>
    <w:rsid w:val="00690CE6"/>
    <w:rsid w:val="0069441F"/>
    <w:rsid w:val="006A4D67"/>
    <w:rsid w:val="006A561A"/>
    <w:rsid w:val="006D21EC"/>
    <w:rsid w:val="006E73E0"/>
    <w:rsid w:val="006F0AA8"/>
    <w:rsid w:val="007058E5"/>
    <w:rsid w:val="00712C71"/>
    <w:rsid w:val="0073419B"/>
    <w:rsid w:val="007404CD"/>
    <w:rsid w:val="007411D6"/>
    <w:rsid w:val="00742C9E"/>
    <w:rsid w:val="00743B2C"/>
    <w:rsid w:val="007530B9"/>
    <w:rsid w:val="0076258E"/>
    <w:rsid w:val="007719D7"/>
    <w:rsid w:val="0077215E"/>
    <w:rsid w:val="007741F9"/>
    <w:rsid w:val="00792EF8"/>
    <w:rsid w:val="007D2B24"/>
    <w:rsid w:val="007F26B1"/>
    <w:rsid w:val="007F32E9"/>
    <w:rsid w:val="007F701A"/>
    <w:rsid w:val="00803CAD"/>
    <w:rsid w:val="008104D7"/>
    <w:rsid w:val="008178BD"/>
    <w:rsid w:val="00821610"/>
    <w:rsid w:val="00833277"/>
    <w:rsid w:val="008372A8"/>
    <w:rsid w:val="008567FF"/>
    <w:rsid w:val="008604BC"/>
    <w:rsid w:val="00861742"/>
    <w:rsid w:val="008672CB"/>
    <w:rsid w:val="00873865"/>
    <w:rsid w:val="008920DA"/>
    <w:rsid w:val="008945DC"/>
    <w:rsid w:val="008A4DD2"/>
    <w:rsid w:val="008C1182"/>
    <w:rsid w:val="008C514A"/>
    <w:rsid w:val="008C60D3"/>
    <w:rsid w:val="008C6C69"/>
    <w:rsid w:val="008F0E00"/>
    <w:rsid w:val="008F2738"/>
    <w:rsid w:val="009070BE"/>
    <w:rsid w:val="00916B3A"/>
    <w:rsid w:val="00917554"/>
    <w:rsid w:val="00921B24"/>
    <w:rsid w:val="00930FA2"/>
    <w:rsid w:val="009368E1"/>
    <w:rsid w:val="00965464"/>
    <w:rsid w:val="00971BFB"/>
    <w:rsid w:val="009736C1"/>
    <w:rsid w:val="009759EF"/>
    <w:rsid w:val="009925B6"/>
    <w:rsid w:val="00994085"/>
    <w:rsid w:val="009B440E"/>
    <w:rsid w:val="009D0540"/>
    <w:rsid w:val="009D282C"/>
    <w:rsid w:val="009E7089"/>
    <w:rsid w:val="009F46C2"/>
    <w:rsid w:val="00A42720"/>
    <w:rsid w:val="00A440E0"/>
    <w:rsid w:val="00A718F0"/>
    <w:rsid w:val="00A87D5B"/>
    <w:rsid w:val="00A97838"/>
    <w:rsid w:val="00AC6FA4"/>
    <w:rsid w:val="00AD3A9F"/>
    <w:rsid w:val="00AF5811"/>
    <w:rsid w:val="00AF588D"/>
    <w:rsid w:val="00B020F4"/>
    <w:rsid w:val="00B063C0"/>
    <w:rsid w:val="00B14355"/>
    <w:rsid w:val="00B17C7D"/>
    <w:rsid w:val="00B22D3D"/>
    <w:rsid w:val="00B371A7"/>
    <w:rsid w:val="00B45F81"/>
    <w:rsid w:val="00B5318F"/>
    <w:rsid w:val="00B758A5"/>
    <w:rsid w:val="00BA2239"/>
    <w:rsid w:val="00BB6C6D"/>
    <w:rsid w:val="00BD1A2F"/>
    <w:rsid w:val="00BD4F87"/>
    <w:rsid w:val="00BD5AEF"/>
    <w:rsid w:val="00BD618C"/>
    <w:rsid w:val="00BE49DD"/>
    <w:rsid w:val="00BF2BA2"/>
    <w:rsid w:val="00C0238E"/>
    <w:rsid w:val="00C10F74"/>
    <w:rsid w:val="00C11A8D"/>
    <w:rsid w:val="00C14AD4"/>
    <w:rsid w:val="00C433D2"/>
    <w:rsid w:val="00C67A38"/>
    <w:rsid w:val="00C774A0"/>
    <w:rsid w:val="00C83247"/>
    <w:rsid w:val="00C96D6C"/>
    <w:rsid w:val="00CA232B"/>
    <w:rsid w:val="00CA2F3C"/>
    <w:rsid w:val="00CC19B0"/>
    <w:rsid w:val="00CD5C87"/>
    <w:rsid w:val="00CE1587"/>
    <w:rsid w:val="00CE3C69"/>
    <w:rsid w:val="00D03AC1"/>
    <w:rsid w:val="00D07A3F"/>
    <w:rsid w:val="00D22144"/>
    <w:rsid w:val="00D22BBC"/>
    <w:rsid w:val="00D403CB"/>
    <w:rsid w:val="00D67A8D"/>
    <w:rsid w:val="00D874F5"/>
    <w:rsid w:val="00DA2FBC"/>
    <w:rsid w:val="00DB2DFC"/>
    <w:rsid w:val="00DC7D20"/>
    <w:rsid w:val="00DD4F53"/>
    <w:rsid w:val="00E07EE2"/>
    <w:rsid w:val="00E16430"/>
    <w:rsid w:val="00E259D6"/>
    <w:rsid w:val="00E30565"/>
    <w:rsid w:val="00E4606B"/>
    <w:rsid w:val="00E520E1"/>
    <w:rsid w:val="00E7004A"/>
    <w:rsid w:val="00E72EE5"/>
    <w:rsid w:val="00E75C02"/>
    <w:rsid w:val="00E8362C"/>
    <w:rsid w:val="00E85F50"/>
    <w:rsid w:val="00EA266A"/>
    <w:rsid w:val="00EC44B6"/>
    <w:rsid w:val="00ED0995"/>
    <w:rsid w:val="00EE0211"/>
    <w:rsid w:val="00EF1B7A"/>
    <w:rsid w:val="00EF6CFB"/>
    <w:rsid w:val="00F235C5"/>
    <w:rsid w:val="00F237DC"/>
    <w:rsid w:val="00F33EE0"/>
    <w:rsid w:val="00F37111"/>
    <w:rsid w:val="00F54D1A"/>
    <w:rsid w:val="00F56DA2"/>
    <w:rsid w:val="00F74FFA"/>
    <w:rsid w:val="00F775A5"/>
    <w:rsid w:val="00F93DCC"/>
    <w:rsid w:val="00FA4238"/>
    <w:rsid w:val="00FB7099"/>
    <w:rsid w:val="00FC385F"/>
    <w:rsid w:val="00FC51DB"/>
    <w:rsid w:val="00FE3190"/>
    <w:rsid w:val="00FF7328"/>
    <w:rsid w:val="047A04FC"/>
    <w:rsid w:val="08AC48DE"/>
    <w:rsid w:val="09865340"/>
    <w:rsid w:val="0ACE4156"/>
    <w:rsid w:val="0C3A2B21"/>
    <w:rsid w:val="0C6738C3"/>
    <w:rsid w:val="1390790F"/>
    <w:rsid w:val="147A373C"/>
    <w:rsid w:val="15FE301D"/>
    <w:rsid w:val="1A807414"/>
    <w:rsid w:val="1B535CDD"/>
    <w:rsid w:val="1CD72B28"/>
    <w:rsid w:val="1F52530E"/>
    <w:rsid w:val="2121068B"/>
    <w:rsid w:val="21D728F2"/>
    <w:rsid w:val="240E0A6F"/>
    <w:rsid w:val="2B0269A3"/>
    <w:rsid w:val="37FF7772"/>
    <w:rsid w:val="3BB7220C"/>
    <w:rsid w:val="3D4F5067"/>
    <w:rsid w:val="41E73B64"/>
    <w:rsid w:val="4439510D"/>
    <w:rsid w:val="45102FBE"/>
    <w:rsid w:val="452F4FBA"/>
    <w:rsid w:val="456F1408"/>
    <w:rsid w:val="4B5A4F93"/>
    <w:rsid w:val="4B856FC6"/>
    <w:rsid w:val="4EF67A48"/>
    <w:rsid w:val="539D57F6"/>
    <w:rsid w:val="53A42120"/>
    <w:rsid w:val="53B65B97"/>
    <w:rsid w:val="547D0BE8"/>
    <w:rsid w:val="60B55CD2"/>
    <w:rsid w:val="61241C92"/>
    <w:rsid w:val="613F280A"/>
    <w:rsid w:val="61B03707"/>
    <w:rsid w:val="64C308E4"/>
    <w:rsid w:val="65F55B8D"/>
    <w:rsid w:val="6AB141CA"/>
    <w:rsid w:val="70981F36"/>
    <w:rsid w:val="70EA691E"/>
    <w:rsid w:val="771A08AE"/>
    <w:rsid w:val="787A3D0F"/>
    <w:rsid w:val="7A5D34C8"/>
    <w:rsid w:val="7AAA11E4"/>
    <w:rsid w:val="7FD82D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7"/>
    <w:unhideWhenUsed/>
    <w:qFormat/>
    <w:uiPriority w:val="99"/>
    <w:pPr>
      <w:tabs>
        <w:tab w:val="center" w:pos="4153"/>
        <w:tab w:val="right" w:pos="8306"/>
      </w:tabs>
      <w:snapToGrid w:val="0"/>
      <w:jc w:val="left"/>
    </w:pPr>
    <w:rPr>
      <w:kern w:val="0"/>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Times New Roman" w:hAnsi="Times New Roman" w:eastAsia="宋体" w:cs="Times New Roman"/>
      <w:kern w:val="0"/>
      <w:sz w:val="18"/>
      <w:szCs w:val="18"/>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2146</Words>
  <Characters>2161</Characters>
  <Lines>15</Lines>
  <Paragraphs>4</Paragraphs>
  <TotalTime>3</TotalTime>
  <ScaleCrop>false</ScaleCrop>
  <LinksUpToDate>false</LinksUpToDate>
  <CharactersWithSpaces>2213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2023-03-19T12:35:00Z</dcterms:created>
  <dc:creator>胡俊飞</dc:creator>
  <cp:lastModifiedBy>蒋柯可</cp:lastModifiedBy>
  <dcterms:modified xsi:type="dcterms:W3CDTF">2023-03-20T07:33:26Z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700B8249C7D540DA8BB58E3733ED67D5</vt:lpwstr>
  </property>
</Properties>
</file>