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7B3FC">
      <w:pPr>
        <w:tabs>
          <w:tab w:val="center" w:pos="4415"/>
        </w:tabs>
        <w:snapToGrid w:val="0"/>
        <w:spacing w:line="580" w:lineRule="exact"/>
        <w:jc w:val="center"/>
        <w:rPr>
          <w:rFonts w:hint="eastAsia" w:ascii="方正小标宋_GBK" w:hAnsi="方正小标宋_GBK" w:eastAsia="方正小标宋_GBK" w:cs="方正小标宋_GBK"/>
          <w:b/>
          <w:bCs/>
          <w:sz w:val="44"/>
          <w:szCs w:val="44"/>
        </w:rPr>
      </w:pPr>
      <w:r>
        <w:rPr>
          <w:rFonts w:hint="eastAsia" w:ascii="方正小标宋_GBK" w:hAnsi="方正小标宋_GBK" w:eastAsia="方正小标宋_GBK" w:cs="方正小标宋_GBK"/>
          <w:sz w:val="44"/>
          <w:szCs w:val="44"/>
        </w:rPr>
        <w:pict>
          <v:line id="直接连接符 5" o:spid="_x0000_s1026" o:spt="20" style="position:absolute;left:0pt;margin-left:0pt;margin-top:63.5pt;height:0pt;width:442.2pt;mso-wrap-distance-bottom:0pt;mso-wrap-distance-top:0pt;visibility:hidden;z-index:251659264;mso-width-relative:page;mso-height-relative:page;" stroked="t"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">
            <v:path arrowok="t"/>
            <v:fill focussize="0,0"/>
            <v:stroke color="#FF0000"/>
            <v:imagedata o:title=""/>
            <o:lock v:ext="edit"/>
            <w10:wrap type="topAndBottom"/>
          </v:line>
        </w:pict>
      </w:r>
      <w:r>
        <w:rPr>
          <w:rFonts w:hint="eastAsia" w:ascii="方正小标宋_GBK" w:hAnsi="方正小标宋_GBK" w:eastAsia="方正小标宋_GBK" w:cs="方正小标宋_GBK"/>
          <w:b/>
          <w:bCs/>
          <w:sz w:val="44"/>
          <w:szCs w:val="44"/>
        </w:rPr>
        <w:t>长江师范学院</w:t>
      </w:r>
    </w:p>
    <w:p w14:paraId="60134A01">
      <w:pPr>
        <w:spacing w:line="58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b/>
          <w:bCs/>
          <w:sz w:val="44"/>
          <w:szCs w:val="44"/>
        </w:rPr>
        <w:t>关于开展202</w:t>
      </w:r>
      <w:r>
        <w:rPr>
          <w:rFonts w:hint="eastAsia" w:ascii="方正小标宋_GBK" w:hAnsi="方正小标宋_GBK" w:eastAsia="方正小标宋_GBK" w:cs="方正小标宋_GBK"/>
          <w:b/>
          <w:bCs/>
          <w:sz w:val="44"/>
          <w:szCs w:val="44"/>
          <w:lang w:val="en-US" w:eastAsia="zh-CN"/>
        </w:rPr>
        <w:t>6</w:t>
      </w:r>
      <w:r>
        <w:rPr>
          <w:rFonts w:hint="eastAsia" w:ascii="方正小标宋_GBK" w:hAnsi="方正小标宋_GBK" w:eastAsia="方正小标宋_GBK" w:cs="方正小标宋_GBK"/>
          <w:b/>
          <w:bCs/>
          <w:sz w:val="44"/>
          <w:szCs w:val="44"/>
        </w:rPr>
        <w:t>年度课程思政示范专业、示范课程认定评审及优秀案例评选工作的通知</w:t>
      </w:r>
    </w:p>
    <w:p w14:paraId="4BCA4E04">
      <w:pPr>
        <w:spacing w:line="580" w:lineRule="exact"/>
        <w:rPr>
          <w:rFonts w:ascii="仿宋" w:hAnsi="仿宋" w:eastAsia="仿宋"/>
          <w:sz w:val="32"/>
          <w:szCs w:val="32"/>
        </w:rPr>
      </w:pPr>
    </w:p>
    <w:p w14:paraId="51CA781C">
      <w:pPr>
        <w:spacing w:line="580" w:lineRule="exact"/>
        <w:rPr>
          <w:rFonts w:ascii="仿宋" w:hAnsi="仿宋" w:eastAsia="仿宋"/>
          <w:sz w:val="32"/>
          <w:szCs w:val="32"/>
        </w:rPr>
      </w:pPr>
      <w:r>
        <w:rPr>
          <w:rFonts w:hint="eastAsia" w:ascii="仿宋" w:hAnsi="仿宋" w:eastAsia="仿宋"/>
          <w:sz w:val="32"/>
          <w:szCs w:val="32"/>
        </w:rPr>
        <w:t>各</w:t>
      </w:r>
      <w:r>
        <w:rPr>
          <w:rFonts w:hint="eastAsia" w:ascii="仿宋" w:hAnsi="仿宋" w:eastAsia="仿宋"/>
          <w:sz w:val="32"/>
          <w:szCs w:val="32"/>
          <w:lang w:eastAsia="zh-CN"/>
        </w:rPr>
        <w:t>二级单位</w:t>
      </w:r>
      <w:r>
        <w:rPr>
          <w:rFonts w:hint="eastAsia" w:ascii="仿宋" w:hAnsi="仿宋" w:eastAsia="仿宋"/>
          <w:sz w:val="32"/>
          <w:szCs w:val="32"/>
        </w:rPr>
        <w:t>：</w:t>
      </w:r>
    </w:p>
    <w:p w14:paraId="065F7781">
      <w:pPr>
        <w:spacing w:line="580" w:lineRule="exact"/>
        <w:ind w:firstLine="640" w:firstLineChars="200"/>
        <w:rPr>
          <w:rFonts w:ascii="仿宋" w:hAnsi="仿宋" w:eastAsia="仿宋"/>
          <w:sz w:val="32"/>
          <w:szCs w:val="32"/>
        </w:rPr>
      </w:pPr>
      <w:r>
        <w:rPr>
          <w:rFonts w:hint="eastAsia" w:ascii="仿宋" w:hAnsi="仿宋" w:eastAsia="仿宋"/>
          <w:sz w:val="32"/>
          <w:szCs w:val="32"/>
        </w:rPr>
        <w:t>为贯彻落实</w:t>
      </w:r>
      <w:r>
        <w:rPr>
          <w:rFonts w:hint="eastAsia" w:eastAsia="方正仿宋_GBK"/>
          <w:sz w:val="32"/>
          <w:szCs w:val="32"/>
        </w:rPr>
        <w:t>习近平总书记</w:t>
      </w:r>
      <w:r>
        <w:rPr>
          <w:rFonts w:hint="eastAsia" w:eastAsia="方正仿宋_GBK"/>
          <w:bCs/>
          <w:kern w:val="0"/>
          <w:sz w:val="32"/>
          <w:szCs w:val="32"/>
        </w:rPr>
        <w:t>关于教育的重要论述</w:t>
      </w:r>
      <w:r>
        <w:rPr>
          <w:rFonts w:hint="eastAsia" w:ascii="仿宋" w:hAnsi="仿宋" w:eastAsia="仿宋"/>
          <w:sz w:val="32"/>
          <w:szCs w:val="32"/>
        </w:rPr>
        <w:t>和教育部《高等学校课程思政建设指导纲</w:t>
      </w:r>
      <w:r>
        <w:rPr>
          <w:rFonts w:hint="eastAsia" w:eastAsia="方正仿宋_GBK"/>
          <w:bCs/>
          <w:kern w:val="0"/>
          <w:sz w:val="32"/>
          <w:szCs w:val="32"/>
        </w:rPr>
        <w:t>要》文件</w:t>
      </w:r>
      <w:r>
        <w:rPr>
          <w:rFonts w:eastAsia="方正仿宋_GBK"/>
          <w:bCs/>
          <w:kern w:val="0"/>
          <w:sz w:val="32"/>
          <w:szCs w:val="32"/>
        </w:rPr>
        <w:t>精神</w:t>
      </w:r>
      <w:r>
        <w:rPr>
          <w:rFonts w:hint="eastAsia" w:eastAsia="方正仿宋_GBK"/>
          <w:bCs/>
          <w:kern w:val="0"/>
          <w:sz w:val="32"/>
          <w:szCs w:val="32"/>
        </w:rPr>
        <w:t>，结合《长江师范学院全面推进课程思政建设实施方案》，深入凝练教师在专</w:t>
      </w:r>
      <w:r>
        <w:rPr>
          <w:rFonts w:hint="eastAsia" w:ascii="仿宋" w:hAnsi="仿宋" w:eastAsia="仿宋"/>
          <w:sz w:val="32"/>
          <w:szCs w:val="32"/>
        </w:rPr>
        <w:t>业</w:t>
      </w:r>
      <w:r>
        <w:rPr>
          <w:rFonts w:ascii="仿宋" w:hAnsi="仿宋" w:eastAsia="仿宋"/>
          <w:sz w:val="32"/>
          <w:szCs w:val="32"/>
        </w:rPr>
        <w:t>和课程建设</w:t>
      </w:r>
      <w:r>
        <w:rPr>
          <w:rFonts w:hint="eastAsia" w:ascii="仿宋" w:hAnsi="仿宋" w:eastAsia="仿宋"/>
          <w:sz w:val="32"/>
          <w:szCs w:val="32"/>
        </w:rPr>
        <w:t>方面的典型经验，</w:t>
      </w:r>
      <w:r>
        <w:rPr>
          <w:rFonts w:hint="eastAsia" w:eastAsia="方正仿宋_GBK"/>
          <w:bCs/>
          <w:kern w:val="0"/>
          <w:sz w:val="32"/>
          <w:szCs w:val="32"/>
        </w:rPr>
        <w:t>系统推进专业教育和思政教育协同育人机制，</w:t>
      </w:r>
      <w:r>
        <w:rPr>
          <w:rFonts w:hint="eastAsia" w:ascii="仿宋" w:hAnsi="仿宋" w:eastAsia="仿宋"/>
          <w:sz w:val="32"/>
          <w:szCs w:val="32"/>
        </w:rPr>
        <w:t>学校决定启动20</w:t>
      </w:r>
      <w:r>
        <w:rPr>
          <w:rFonts w:ascii="仿宋" w:hAnsi="仿宋" w:eastAsia="仿宋"/>
          <w:sz w:val="32"/>
          <w:szCs w:val="32"/>
        </w:rPr>
        <w:t>2</w:t>
      </w:r>
      <w:r>
        <w:rPr>
          <w:rFonts w:hint="eastAsia" w:ascii="仿宋" w:hAnsi="仿宋" w:eastAsia="仿宋"/>
          <w:sz w:val="32"/>
          <w:szCs w:val="32"/>
          <w:lang w:val="en-US" w:eastAsia="zh-CN"/>
        </w:rPr>
        <w:t>6</w:t>
      </w:r>
      <w:r>
        <w:rPr>
          <w:rFonts w:hint="eastAsia" w:ascii="仿宋" w:hAnsi="仿宋" w:eastAsia="仿宋"/>
          <w:sz w:val="32"/>
          <w:szCs w:val="32"/>
        </w:rPr>
        <w:t>年度课程思政示范专业</w:t>
      </w:r>
      <w:r>
        <w:rPr>
          <w:rFonts w:ascii="仿宋" w:hAnsi="仿宋" w:eastAsia="仿宋"/>
          <w:sz w:val="32"/>
          <w:szCs w:val="32"/>
        </w:rPr>
        <w:t>、示范</w:t>
      </w:r>
      <w:r>
        <w:rPr>
          <w:rFonts w:hint="eastAsia" w:ascii="仿宋" w:hAnsi="仿宋" w:eastAsia="仿宋"/>
          <w:sz w:val="32"/>
          <w:szCs w:val="32"/>
        </w:rPr>
        <w:t>课程认定评审及优秀案例评选工作。现将有关事宜通知如下：</w:t>
      </w:r>
    </w:p>
    <w:p w14:paraId="1F4FF9FC">
      <w:pPr>
        <w:pStyle w:val="11"/>
        <w:adjustRightInd w:val="0"/>
        <w:snapToGrid w:val="0"/>
        <w:spacing w:line="560" w:lineRule="exact"/>
        <w:ind w:left="420" w:leftChars="200" w:firstLine="320" w:firstLineChars="100"/>
        <w:rPr>
          <w:rFonts w:eastAsia="方正黑体_GBK"/>
          <w:bCs/>
          <w:kern w:val="0"/>
          <w:sz w:val="32"/>
          <w:szCs w:val="32"/>
        </w:rPr>
      </w:pPr>
      <w:r>
        <w:rPr>
          <w:rFonts w:hint="eastAsia" w:eastAsia="方正黑体_GBK"/>
          <w:bCs/>
          <w:kern w:val="0"/>
          <w:sz w:val="32"/>
          <w:szCs w:val="32"/>
        </w:rPr>
        <w:t>一、</w:t>
      </w:r>
      <w:r>
        <w:rPr>
          <w:rFonts w:eastAsia="方正黑体_GBK"/>
          <w:bCs/>
          <w:kern w:val="0"/>
          <w:sz w:val="32"/>
          <w:szCs w:val="32"/>
        </w:rPr>
        <w:t>课程思政示范专业</w:t>
      </w:r>
    </w:p>
    <w:p w14:paraId="346E4C24">
      <w:pPr>
        <w:pStyle w:val="5"/>
        <w:shd w:val="clear" w:color="auto" w:fill="FFFFFF"/>
        <w:adjustRightInd w:val="0"/>
        <w:snapToGrid w:val="0"/>
        <w:spacing w:before="0" w:beforeAutospacing="0" w:after="0" w:afterAutospacing="0" w:line="560" w:lineRule="exact"/>
        <w:ind w:firstLine="640" w:firstLineChars="200"/>
        <w:jc w:val="both"/>
        <w:rPr>
          <w:rFonts w:ascii="黑体" w:hAnsi="黑体" w:eastAsia="黑体" w:cs="Times New Roman"/>
          <w:kern w:val="2"/>
          <w:sz w:val="32"/>
          <w:szCs w:val="32"/>
        </w:rPr>
      </w:pPr>
      <w:r>
        <w:rPr>
          <w:rFonts w:hint="eastAsia" w:ascii="黑体" w:hAnsi="黑体" w:eastAsia="黑体" w:cs="Times New Roman"/>
          <w:kern w:val="2"/>
          <w:sz w:val="32"/>
          <w:szCs w:val="32"/>
        </w:rPr>
        <w:t>（一）认定条件</w:t>
      </w:r>
    </w:p>
    <w:p w14:paraId="3F46E817">
      <w:pPr>
        <w:pStyle w:val="5"/>
        <w:shd w:val="clear" w:color="auto" w:fill="FFFFFF"/>
        <w:adjustRightInd w:val="0"/>
        <w:snapToGrid w:val="0"/>
        <w:spacing w:before="0" w:beforeAutospacing="0" w:after="0" w:afterAutospacing="0" w:line="560" w:lineRule="exact"/>
        <w:ind w:firstLine="645"/>
        <w:jc w:val="both"/>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1.专业思政定位明确。专业聚焦国家和区域经济社会发展需要，符合学校发展定位和办学方向，把思想政治教育贯穿人才培养全过程、各环节，构建科学合理的“课程思政”专业课程体系和教学体系，能有效结合学科、专业特点和课程类别分类推进课程思政建设，促进学生德智体美劳全面发展。</w:t>
      </w:r>
    </w:p>
    <w:p w14:paraId="33CCF37A">
      <w:pPr>
        <w:pStyle w:val="5"/>
        <w:shd w:val="clear" w:color="auto" w:fill="FFFFFF"/>
        <w:adjustRightInd w:val="0"/>
        <w:snapToGrid w:val="0"/>
        <w:spacing w:before="0" w:beforeAutospacing="0" w:after="0" w:afterAutospacing="0" w:line="560" w:lineRule="exact"/>
        <w:ind w:firstLine="645"/>
        <w:jc w:val="both"/>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2.专业示范辐射</w:t>
      </w:r>
      <w:r>
        <w:rPr>
          <w:rFonts w:ascii="Times New Roman" w:hAnsi="Times New Roman" w:eastAsia="方正仿宋_GBK" w:cs="Times New Roman"/>
          <w:bCs/>
          <w:sz w:val="32"/>
          <w:szCs w:val="32"/>
        </w:rPr>
        <w:t>范围广</w:t>
      </w:r>
      <w:r>
        <w:rPr>
          <w:rFonts w:hint="eastAsia" w:ascii="Times New Roman" w:hAnsi="Times New Roman" w:eastAsia="方正仿宋_GBK" w:cs="Times New Roman"/>
          <w:bCs/>
          <w:sz w:val="32"/>
          <w:szCs w:val="32"/>
        </w:rPr>
        <w:t>。发挥专业整体育人功能，专业课程思政要深入专业-课程-教材-师资-教研-评价等教学要素全过程。人才培养方案中每门课程</w:t>
      </w:r>
      <w:r>
        <w:rPr>
          <w:rFonts w:ascii="Times New Roman" w:hAnsi="Times New Roman" w:eastAsia="方正仿宋_GBK" w:cs="Times New Roman"/>
          <w:bCs/>
          <w:sz w:val="32"/>
          <w:szCs w:val="32"/>
        </w:rPr>
        <w:t>需融入</w:t>
      </w:r>
      <w:r>
        <w:rPr>
          <w:rFonts w:hint="eastAsia" w:ascii="Times New Roman" w:hAnsi="Times New Roman" w:eastAsia="方正仿宋_GBK" w:cs="Times New Roman"/>
          <w:bCs/>
          <w:sz w:val="32"/>
          <w:szCs w:val="32"/>
        </w:rPr>
        <w:t>课程思政元素并在课程教学中得以体现。</w:t>
      </w:r>
    </w:p>
    <w:p w14:paraId="6807FE99">
      <w:pPr>
        <w:pStyle w:val="5"/>
        <w:shd w:val="clear" w:color="auto" w:fill="FFFFFF"/>
        <w:adjustRightInd w:val="0"/>
        <w:snapToGrid w:val="0"/>
        <w:spacing w:before="0" w:beforeAutospacing="0" w:after="0" w:afterAutospacing="0" w:line="560" w:lineRule="exact"/>
        <w:ind w:firstLine="645"/>
        <w:jc w:val="both"/>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3.教师队伍成效显著。专业负责人积极推进专业思政和课程思政建设，专业教师队伍结构合理、整体素质水平高，注重打造高水平课程思政教师团队，定期组织教师参加课程思政专题培训、研讨等活动，全面</w:t>
      </w:r>
      <w:r>
        <w:rPr>
          <w:rFonts w:ascii="Times New Roman" w:hAnsi="Times New Roman" w:eastAsia="方正仿宋_GBK" w:cs="Times New Roman"/>
          <w:bCs/>
          <w:sz w:val="32"/>
          <w:szCs w:val="32"/>
        </w:rPr>
        <w:t>提升</w:t>
      </w:r>
      <w:r>
        <w:rPr>
          <w:rFonts w:hint="eastAsia" w:ascii="Times New Roman" w:hAnsi="Times New Roman" w:eastAsia="方正仿宋_GBK" w:cs="Times New Roman"/>
          <w:bCs/>
          <w:sz w:val="32"/>
          <w:szCs w:val="32"/>
        </w:rPr>
        <w:t>教师</w:t>
      </w:r>
      <w:r>
        <w:rPr>
          <w:rFonts w:ascii="Times New Roman" w:hAnsi="Times New Roman" w:eastAsia="方正仿宋_GBK" w:cs="Times New Roman"/>
          <w:bCs/>
          <w:sz w:val="32"/>
          <w:szCs w:val="32"/>
        </w:rPr>
        <w:t>队伍教学能力</w:t>
      </w:r>
      <w:r>
        <w:rPr>
          <w:rFonts w:hint="eastAsia" w:ascii="Times New Roman" w:hAnsi="Times New Roman" w:eastAsia="方正仿宋_GBK" w:cs="Times New Roman"/>
          <w:bCs/>
          <w:sz w:val="32"/>
          <w:szCs w:val="32"/>
        </w:rPr>
        <w:t>。</w:t>
      </w:r>
    </w:p>
    <w:p w14:paraId="2855B108">
      <w:pPr>
        <w:spacing w:line="600" w:lineRule="exact"/>
        <w:ind w:firstLine="640" w:firstLineChars="200"/>
        <w:jc w:val="left"/>
        <w:rPr>
          <w:rFonts w:eastAsia="方正仿宋_GBK"/>
          <w:bCs/>
          <w:sz w:val="32"/>
          <w:szCs w:val="32"/>
        </w:rPr>
      </w:pPr>
      <w:r>
        <w:rPr>
          <w:rFonts w:hint="eastAsia" w:eastAsia="方正仿宋_GBK"/>
          <w:bCs/>
          <w:sz w:val="32"/>
          <w:szCs w:val="32"/>
        </w:rPr>
        <w:t>4.</w:t>
      </w:r>
      <w:r>
        <w:rPr>
          <w:rFonts w:hint="eastAsia" w:ascii="仿宋" w:hAnsi="仿宋" w:eastAsia="仿宋"/>
          <w:sz w:val="32"/>
          <w:szCs w:val="32"/>
        </w:rPr>
        <w:t>项目负责人应为专业负责人或分管专业建设的院领导，原则上应该具有高级专业技术职称或博士以上学历，或主持过市级及</w:t>
      </w:r>
      <w:r>
        <w:rPr>
          <w:rFonts w:ascii="仿宋" w:hAnsi="仿宋" w:eastAsia="仿宋"/>
          <w:sz w:val="32"/>
          <w:szCs w:val="32"/>
        </w:rPr>
        <w:t>以上</w:t>
      </w:r>
      <w:r>
        <w:rPr>
          <w:rFonts w:hint="eastAsia" w:ascii="仿宋" w:hAnsi="仿宋" w:eastAsia="仿宋"/>
          <w:sz w:val="32"/>
          <w:szCs w:val="32"/>
        </w:rPr>
        <w:t>教育教学改革课题或质量工程项目；项目团队为专业核心课程主讲教师，具有中级及以上专业技术职称或硕士及以上学历。</w:t>
      </w:r>
    </w:p>
    <w:p w14:paraId="511573A3">
      <w:pPr>
        <w:pStyle w:val="5"/>
        <w:shd w:val="clear" w:color="auto" w:fill="FFFFFF"/>
        <w:adjustRightInd w:val="0"/>
        <w:snapToGrid w:val="0"/>
        <w:spacing w:before="0" w:beforeAutospacing="0" w:after="0" w:afterAutospacing="0" w:line="560" w:lineRule="exact"/>
        <w:ind w:firstLine="645"/>
        <w:jc w:val="both"/>
        <w:rPr>
          <w:rFonts w:ascii="仿宋" w:hAnsi="仿宋" w:eastAsia="仿宋"/>
          <w:sz w:val="32"/>
          <w:szCs w:val="32"/>
        </w:rPr>
      </w:pPr>
      <w:r>
        <w:rPr>
          <w:rFonts w:hint="eastAsia" w:ascii="Times New Roman" w:hAnsi="Times New Roman" w:eastAsia="方正仿宋_GBK" w:cs="Times New Roman"/>
          <w:bCs/>
          <w:sz w:val="32"/>
          <w:szCs w:val="32"/>
        </w:rPr>
        <w:t>5.参与认定评审的专业需满足以下一项条件（</w:t>
      </w:r>
      <w:r>
        <w:rPr>
          <w:rFonts w:hint="eastAsia" w:ascii="仿宋" w:hAnsi="仿宋" w:eastAsia="仿宋"/>
          <w:sz w:val="32"/>
          <w:szCs w:val="32"/>
        </w:rPr>
        <w:t>思想政治教育专业除外</w:t>
      </w:r>
      <w:r>
        <w:rPr>
          <w:rFonts w:hint="eastAsia" w:ascii="Times New Roman" w:hAnsi="Times New Roman" w:eastAsia="方正仿宋_GBK" w:cs="Times New Roman"/>
          <w:bCs/>
          <w:sz w:val="32"/>
          <w:szCs w:val="32"/>
        </w:rPr>
        <w:t>），学校将组织立项评选：</w:t>
      </w:r>
    </w:p>
    <w:p w14:paraId="40F14C28">
      <w:pPr>
        <w:spacing w:line="600" w:lineRule="exact"/>
        <w:ind w:firstLine="640" w:firstLineChars="200"/>
        <w:jc w:val="left"/>
        <w:rPr>
          <w:rFonts w:ascii="仿宋" w:hAnsi="仿宋" w:eastAsia="仿宋"/>
          <w:sz w:val="32"/>
          <w:szCs w:val="32"/>
        </w:rPr>
      </w:pPr>
      <w:r>
        <w:rPr>
          <w:rFonts w:hint="eastAsia" w:ascii="仿宋" w:hAnsi="仿宋" w:eastAsia="仿宋"/>
          <w:sz w:val="32"/>
          <w:szCs w:val="32"/>
        </w:rPr>
        <w:t>（1）专业内的课程中有2门及以上课程获评校级课程思政示范课程，或1门课程获评市级课程思政示范课程；</w:t>
      </w:r>
    </w:p>
    <w:p w14:paraId="72A1AACA">
      <w:pPr>
        <w:spacing w:line="600" w:lineRule="exact"/>
        <w:ind w:firstLine="640" w:firstLineChars="200"/>
        <w:jc w:val="left"/>
        <w:rPr>
          <w:rFonts w:ascii="仿宋" w:hAnsi="仿宋" w:eastAsia="仿宋"/>
          <w:sz w:val="32"/>
          <w:szCs w:val="32"/>
        </w:rPr>
      </w:pPr>
      <w:r>
        <w:rPr>
          <w:rFonts w:hint="eastAsia" w:ascii="仿宋" w:hAnsi="仿宋" w:eastAsia="仿宋"/>
          <w:sz w:val="32"/>
          <w:szCs w:val="32"/>
        </w:rPr>
        <w:t>（2）专业内课程所产出的教学案例获评1个及以上市级以上的课程思政优秀案例，或者2个及以上校级课程思政优秀教学案例；</w:t>
      </w:r>
    </w:p>
    <w:p w14:paraId="4E98BFCF">
      <w:pPr>
        <w:spacing w:line="600" w:lineRule="exact"/>
        <w:ind w:firstLine="640" w:firstLineChars="200"/>
        <w:jc w:val="left"/>
        <w:rPr>
          <w:rFonts w:ascii="仿宋" w:hAnsi="仿宋" w:eastAsia="仿宋"/>
          <w:sz w:val="32"/>
          <w:szCs w:val="32"/>
        </w:rPr>
      </w:pPr>
      <w:r>
        <w:rPr>
          <w:rFonts w:hint="eastAsia" w:ascii="仿宋" w:hAnsi="仿宋" w:eastAsia="仿宋"/>
          <w:sz w:val="32"/>
          <w:szCs w:val="32"/>
        </w:rPr>
        <w:t>（3）专业课程思政建设凝练典型做法形成的工作案例获评市级课程思政优秀案例，或校级课程思政优秀工作案例；</w:t>
      </w:r>
    </w:p>
    <w:p w14:paraId="22CC57A7">
      <w:pPr>
        <w:spacing w:line="600" w:lineRule="exact"/>
        <w:ind w:firstLine="640" w:firstLineChars="200"/>
        <w:jc w:val="left"/>
        <w:rPr>
          <w:rFonts w:ascii="仿宋" w:hAnsi="仿宋" w:eastAsia="仿宋"/>
          <w:sz w:val="32"/>
          <w:szCs w:val="32"/>
        </w:rPr>
      </w:pPr>
      <w:r>
        <w:rPr>
          <w:rFonts w:hint="eastAsia" w:ascii="仿宋" w:hAnsi="仿宋" w:eastAsia="仿宋"/>
          <w:sz w:val="32"/>
          <w:szCs w:val="32"/>
        </w:rPr>
        <w:t>（4）专业课程思政建设凝练的典型做法在主流媒体上进行过报道；</w:t>
      </w:r>
    </w:p>
    <w:p w14:paraId="4A1C9E33">
      <w:pPr>
        <w:spacing w:line="600" w:lineRule="exact"/>
        <w:ind w:firstLine="640" w:firstLineChars="200"/>
        <w:jc w:val="left"/>
        <w:rPr>
          <w:rFonts w:ascii="仿宋" w:hAnsi="仿宋" w:eastAsia="仿宋"/>
          <w:sz w:val="32"/>
          <w:szCs w:val="32"/>
        </w:rPr>
      </w:pPr>
      <w:r>
        <w:rPr>
          <w:rFonts w:hint="eastAsia" w:eastAsia="方正仿宋_GBK"/>
          <w:bCs/>
          <w:sz w:val="32"/>
          <w:szCs w:val="32"/>
        </w:rPr>
        <w:t>（5）专业获评市级以上一流本科专业、特色专业建设点；基层教学组织获市级表彰所在的专业。</w:t>
      </w:r>
    </w:p>
    <w:p w14:paraId="7D7F8FD8">
      <w:pPr>
        <w:pStyle w:val="5"/>
        <w:shd w:val="clear" w:color="auto" w:fill="FFFFFF"/>
        <w:adjustRightInd w:val="0"/>
        <w:snapToGrid w:val="0"/>
        <w:spacing w:before="0" w:beforeAutospacing="0" w:after="0" w:afterAutospacing="0" w:line="560" w:lineRule="exact"/>
        <w:ind w:firstLine="645"/>
        <w:jc w:val="both"/>
        <w:rPr>
          <w:rFonts w:ascii="黑体" w:hAnsi="黑体" w:eastAsia="黑体" w:cs="Times New Roman"/>
          <w:kern w:val="2"/>
          <w:sz w:val="32"/>
          <w:szCs w:val="32"/>
        </w:rPr>
      </w:pPr>
      <w:r>
        <w:rPr>
          <w:rFonts w:hint="eastAsia" w:ascii="黑体" w:hAnsi="黑体" w:eastAsia="黑体" w:cs="Times New Roman"/>
          <w:kern w:val="2"/>
          <w:sz w:val="32"/>
          <w:szCs w:val="32"/>
        </w:rPr>
        <w:t>（二）认定后持续建设要求</w:t>
      </w:r>
    </w:p>
    <w:p w14:paraId="1750AF26">
      <w:pPr>
        <w:pStyle w:val="5"/>
        <w:shd w:val="clear" w:color="auto" w:fill="FFFFFF"/>
        <w:adjustRightInd w:val="0"/>
        <w:snapToGrid w:val="0"/>
        <w:spacing w:before="0" w:beforeAutospacing="0" w:after="0" w:afterAutospacing="0" w:line="560" w:lineRule="exact"/>
        <w:ind w:firstLine="645"/>
        <w:jc w:val="both"/>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1.课程思政示范专业要求在专业载体的基础之上，针对专业特点以及优势进行挖掘，依托于专业核心价值的引领，在专业人才培养的全过程中贯穿思想政治教育，最终实现专业教育和思想政治教育的一体化发展，打造与时代特色相一致的专业人才培养模式。</w:t>
      </w:r>
    </w:p>
    <w:p w14:paraId="21EF238B">
      <w:pPr>
        <w:pStyle w:val="5"/>
        <w:shd w:val="clear" w:color="auto" w:fill="FFFFFF"/>
        <w:adjustRightInd w:val="0"/>
        <w:snapToGrid w:val="0"/>
        <w:spacing w:before="0" w:beforeAutospacing="0" w:after="0" w:afterAutospacing="0" w:line="560" w:lineRule="exact"/>
        <w:ind w:firstLine="645"/>
        <w:jc w:val="both"/>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2.对所培养人才应具备的核心素养进行总体设计，提出要求和实施途径；对专业基础课、专业核心课、专业拓展课、第二课堂等育人全环节中的思政元素进行整体安排和合理布局。</w:t>
      </w:r>
    </w:p>
    <w:p w14:paraId="62311EC6">
      <w:pPr>
        <w:pStyle w:val="5"/>
        <w:shd w:val="clear" w:color="auto" w:fill="FFFFFF"/>
        <w:adjustRightInd w:val="0"/>
        <w:snapToGrid w:val="0"/>
        <w:spacing w:before="0" w:beforeAutospacing="0" w:after="0" w:afterAutospacing="0" w:line="560" w:lineRule="exact"/>
        <w:ind w:firstLine="645"/>
        <w:jc w:val="both"/>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3.将思政教育纳入人才培养方案和课程教学大纲。专业课程思政深入培养目标、毕业要求，具体落实到每一门课程教学目标、教学大纲、教学进度计划、教学设计，形成环环相扣、紧密支撑的课程思政育人体系。</w:t>
      </w:r>
    </w:p>
    <w:p w14:paraId="64B62CB4">
      <w:pPr>
        <w:pStyle w:val="5"/>
        <w:shd w:val="clear" w:color="auto" w:fill="FFFFFF"/>
        <w:adjustRightInd w:val="0"/>
        <w:snapToGrid w:val="0"/>
        <w:spacing w:before="0" w:beforeAutospacing="0" w:after="0" w:afterAutospacing="0" w:line="560" w:lineRule="exact"/>
        <w:ind w:firstLine="645"/>
        <w:jc w:val="both"/>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4.进行常态化课程思政专题教研。基层教研团队运行良好，建立集体听课备课和教研制度，定期进行研讨至少一学期2次，开展含课程思政教学研讨、课程思政示范课观摩、示范专业建设成果汇报等其他活动，面向全校的课程思政示范专业公开汇报活动至少1学年1次，形成对应的教研和听课记录。鼓励与马克思主义学院教师结对子，或开展跨学科、跨院系联合教研等，推动专业课程思政理念落深落实。</w:t>
      </w:r>
    </w:p>
    <w:p w14:paraId="754EAF23">
      <w:pPr>
        <w:pStyle w:val="5"/>
        <w:shd w:val="clear" w:color="auto" w:fill="FFFFFF"/>
        <w:adjustRightInd w:val="0"/>
        <w:snapToGrid w:val="0"/>
        <w:spacing w:before="0" w:beforeAutospacing="0" w:after="0" w:afterAutospacing="0" w:line="560" w:lineRule="exact"/>
        <w:ind w:firstLine="645"/>
        <w:jc w:val="both"/>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5.凝练</w:t>
      </w:r>
      <w:r>
        <w:rPr>
          <w:rFonts w:ascii="Times New Roman" w:hAnsi="Times New Roman" w:eastAsia="方正仿宋_GBK" w:cs="Times New Roman"/>
          <w:bCs/>
          <w:sz w:val="32"/>
          <w:szCs w:val="32"/>
        </w:rPr>
        <w:t>专业课程思政案例</w:t>
      </w:r>
      <w:r>
        <w:rPr>
          <w:rFonts w:hint="eastAsia" w:ascii="Times New Roman" w:hAnsi="Times New Roman" w:eastAsia="方正仿宋_GBK" w:cs="Times New Roman"/>
          <w:bCs/>
          <w:sz w:val="32"/>
          <w:szCs w:val="32"/>
        </w:rPr>
        <w:t>集。对专业课程思政的建设有整体规划，8</w:t>
      </w:r>
      <w:r>
        <w:rPr>
          <w:rFonts w:ascii="Times New Roman" w:hAnsi="Times New Roman" w:eastAsia="方正仿宋_GBK" w:cs="Times New Roman"/>
          <w:bCs/>
          <w:sz w:val="32"/>
          <w:szCs w:val="32"/>
        </w:rPr>
        <w:t>-10</w:t>
      </w:r>
      <w:r>
        <w:rPr>
          <w:rFonts w:hint="eastAsia" w:ascii="Times New Roman" w:hAnsi="Times New Roman" w:eastAsia="方正仿宋_GBK" w:cs="Times New Roman"/>
          <w:bCs/>
          <w:sz w:val="32"/>
          <w:szCs w:val="32"/>
        </w:rPr>
        <w:t>门专业核心课形成课程思政典型案例不少于5个，形成本专业课程思政案例集。</w:t>
      </w:r>
    </w:p>
    <w:p w14:paraId="0A5B7027">
      <w:pPr>
        <w:pStyle w:val="5"/>
        <w:shd w:val="clear" w:color="auto" w:fill="FFFFFF"/>
        <w:adjustRightInd w:val="0"/>
        <w:snapToGrid w:val="0"/>
        <w:spacing w:before="0" w:beforeAutospacing="0" w:after="0" w:afterAutospacing="0" w:line="560" w:lineRule="exact"/>
        <w:ind w:firstLine="645"/>
        <w:jc w:val="both"/>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6.建成专业课程思政资源库。遴选6-8门专业基础和核心课程，打造课程思政特色鲜明和内涵充实的课程群，可以依托课程中心或者学院网站线上</w:t>
      </w:r>
      <w:r>
        <w:rPr>
          <w:rFonts w:ascii="Times New Roman" w:hAnsi="Times New Roman" w:eastAsia="方正仿宋_GBK" w:cs="Times New Roman"/>
          <w:bCs/>
          <w:sz w:val="32"/>
          <w:szCs w:val="32"/>
        </w:rPr>
        <w:t>搭建平台，</w:t>
      </w:r>
      <w:r>
        <w:rPr>
          <w:rFonts w:hint="eastAsia" w:ascii="Times New Roman" w:hAnsi="Times New Roman" w:eastAsia="方正仿宋_GBK" w:cs="Times New Roman"/>
          <w:bCs/>
          <w:sz w:val="32"/>
          <w:szCs w:val="32"/>
        </w:rPr>
        <w:t>形成以网页、图文、视频、案例等为主要内容的专业思想育人信息资源库。</w:t>
      </w:r>
    </w:p>
    <w:p w14:paraId="1610DB23">
      <w:pPr>
        <w:pStyle w:val="5"/>
        <w:shd w:val="clear" w:color="auto" w:fill="FFFFFF"/>
        <w:spacing w:before="0" w:beforeAutospacing="0" w:after="0" w:afterAutospacing="0" w:line="560" w:lineRule="exact"/>
        <w:ind w:firstLine="640" w:firstLineChars="200"/>
        <w:rPr>
          <w:rFonts w:eastAsia="方正黑体_GBK"/>
          <w:bCs/>
          <w:sz w:val="32"/>
          <w:szCs w:val="32"/>
        </w:rPr>
      </w:pPr>
      <w:r>
        <w:rPr>
          <w:rFonts w:hint="eastAsia" w:eastAsia="方正黑体_GBK"/>
          <w:bCs/>
          <w:sz w:val="32"/>
          <w:szCs w:val="32"/>
        </w:rPr>
        <w:t>二、课程思政示范课程</w:t>
      </w:r>
    </w:p>
    <w:p w14:paraId="34201F62">
      <w:pPr>
        <w:spacing w:line="560" w:lineRule="exact"/>
        <w:ind w:firstLine="640" w:firstLineChars="200"/>
        <w:rPr>
          <w:rFonts w:ascii="黑体" w:hAnsi="黑体" w:eastAsia="黑体"/>
          <w:sz w:val="32"/>
          <w:szCs w:val="32"/>
        </w:rPr>
      </w:pPr>
      <w:r>
        <w:rPr>
          <w:rFonts w:hint="eastAsia" w:ascii="黑体" w:hAnsi="黑体" w:eastAsia="黑体"/>
          <w:sz w:val="32"/>
          <w:szCs w:val="32"/>
        </w:rPr>
        <w:t>（一）认定数量</w:t>
      </w:r>
    </w:p>
    <w:p w14:paraId="2DD6A99D">
      <w:pPr>
        <w:spacing w:line="580" w:lineRule="exact"/>
        <w:ind w:firstLine="640" w:firstLineChars="200"/>
        <w:rPr>
          <w:rFonts w:ascii="仿宋" w:hAnsi="仿宋" w:eastAsia="仿宋"/>
          <w:sz w:val="32"/>
          <w:szCs w:val="32"/>
        </w:rPr>
      </w:pPr>
      <w:r>
        <w:rPr>
          <w:rFonts w:hint="eastAsia" w:ascii="仿宋" w:hAnsi="仿宋" w:eastAsia="仿宋"/>
          <w:sz w:val="32"/>
          <w:szCs w:val="32"/>
        </w:rPr>
        <w:t>拟认定课程思政建设示范课程20门左右，共包含3个类别。其中涵盖综合类课程思政示范课程、实践类课程思政示范专项课程，</w:t>
      </w:r>
      <w:r>
        <w:rPr>
          <w:rFonts w:ascii="仿宋" w:hAnsi="仿宋" w:eastAsia="仿宋"/>
          <w:sz w:val="32"/>
          <w:szCs w:val="32"/>
        </w:rPr>
        <w:t>教育家</w:t>
      </w:r>
      <w:r>
        <w:rPr>
          <w:rFonts w:hint="eastAsia" w:ascii="仿宋" w:hAnsi="仿宋" w:eastAsia="仿宋"/>
          <w:sz w:val="32"/>
          <w:szCs w:val="32"/>
        </w:rPr>
        <w:t>精神类专项</w:t>
      </w:r>
      <w:r>
        <w:rPr>
          <w:rFonts w:ascii="仿宋" w:hAnsi="仿宋" w:eastAsia="仿宋"/>
          <w:sz w:val="32"/>
          <w:szCs w:val="32"/>
        </w:rPr>
        <w:t>课程</w:t>
      </w:r>
      <w:r>
        <w:rPr>
          <w:rFonts w:hint="eastAsia" w:ascii="仿宋" w:hAnsi="仿宋" w:eastAsia="仿宋"/>
          <w:sz w:val="32"/>
          <w:szCs w:val="32"/>
        </w:rPr>
        <w:t>。</w:t>
      </w:r>
    </w:p>
    <w:p w14:paraId="57AFA614">
      <w:pPr>
        <w:spacing w:line="580" w:lineRule="exact"/>
        <w:ind w:firstLine="640" w:firstLineChars="200"/>
        <w:rPr>
          <w:rFonts w:ascii="黑体" w:hAnsi="黑体" w:eastAsia="黑体"/>
          <w:sz w:val="32"/>
          <w:szCs w:val="32"/>
        </w:rPr>
      </w:pPr>
      <w:r>
        <w:rPr>
          <w:rFonts w:hint="eastAsia" w:ascii="黑体" w:hAnsi="黑体" w:eastAsia="黑体"/>
          <w:sz w:val="32"/>
          <w:szCs w:val="32"/>
        </w:rPr>
        <w:t>（二）认定条件</w:t>
      </w:r>
    </w:p>
    <w:p w14:paraId="1D42FF0C">
      <w:pPr>
        <w:spacing w:line="580" w:lineRule="exact"/>
        <w:ind w:firstLine="640" w:firstLineChars="200"/>
        <w:rPr>
          <w:rFonts w:ascii="仿宋" w:hAnsi="仿宋" w:eastAsia="仿宋"/>
          <w:sz w:val="32"/>
          <w:szCs w:val="32"/>
        </w:rPr>
      </w:pPr>
      <w:r>
        <w:rPr>
          <w:rFonts w:hint="eastAsia" w:ascii="仿宋" w:hAnsi="仿宋" w:eastAsia="仿宋"/>
          <w:sz w:val="32"/>
          <w:szCs w:val="32"/>
        </w:rPr>
        <w:t>1.所申报课程已纳入人才培养方案或专业考试计划，须为连续开设两个教学周期以上的公共基础课程、专业教育（含基础、核心、拓展、实践）课程或校本通识教育课程，马克思主义学院四门思政主干</w:t>
      </w:r>
      <w:r>
        <w:rPr>
          <w:rFonts w:ascii="仿宋" w:hAnsi="仿宋" w:eastAsia="仿宋"/>
          <w:sz w:val="32"/>
          <w:szCs w:val="32"/>
        </w:rPr>
        <w:t>课程</w:t>
      </w:r>
      <w:r>
        <w:rPr>
          <w:rFonts w:hint="eastAsia" w:ascii="仿宋" w:hAnsi="仿宋" w:eastAsia="仿宋"/>
          <w:sz w:val="32"/>
          <w:szCs w:val="32"/>
        </w:rPr>
        <w:t>除外。项目负责人须具备该门课程</w:t>
      </w:r>
      <w:r>
        <w:rPr>
          <w:rFonts w:ascii="仿宋" w:hAnsi="仿宋" w:eastAsia="仿宋"/>
          <w:sz w:val="32"/>
          <w:szCs w:val="32"/>
        </w:rPr>
        <w:t>1</w:t>
      </w:r>
      <w:r>
        <w:rPr>
          <w:rFonts w:hint="eastAsia" w:ascii="仿宋" w:hAnsi="仿宋" w:eastAsia="仿宋"/>
          <w:sz w:val="32"/>
          <w:szCs w:val="32"/>
        </w:rPr>
        <w:t>学期以上教学经历，具有讲师及以上职称或硕士学位。</w:t>
      </w:r>
    </w:p>
    <w:p w14:paraId="1C0997CF">
      <w:pPr>
        <w:spacing w:line="580" w:lineRule="exact"/>
        <w:ind w:firstLine="643" w:firstLineChars="200"/>
        <w:rPr>
          <w:rFonts w:ascii="仿宋" w:hAnsi="仿宋" w:eastAsia="仿宋"/>
          <w:b/>
          <w:bCs/>
          <w:sz w:val="32"/>
          <w:szCs w:val="32"/>
        </w:rPr>
      </w:pPr>
      <w:r>
        <w:rPr>
          <w:rFonts w:hint="eastAsia" w:ascii="仿宋" w:hAnsi="仿宋" w:eastAsia="仿宋"/>
          <w:b/>
          <w:bCs/>
          <w:sz w:val="32"/>
          <w:szCs w:val="32"/>
        </w:rPr>
        <w:t>2.所有的课程均需要融入英模教育元素，需充分挖掘专业课程、公共课程等相关课程中的英模教育元素，整合与专业、课程密切相关的科学家、工程师、艺术家、劳模等英雄模范人物，形成深度融入英模教育元素的课程思政示范案例，在专业课程教学中做到弘扬英模事迹，传承英模精神，逐步实现以英模教育为突破口，形成长师特色的课程思政与思政课程的协同育人模式。</w:t>
      </w:r>
    </w:p>
    <w:p w14:paraId="55FB8C0D">
      <w:pPr>
        <w:spacing w:line="580" w:lineRule="exact"/>
        <w:ind w:firstLine="640" w:firstLineChars="200"/>
        <w:rPr>
          <w:rFonts w:ascii="仿宋" w:hAnsi="仿宋" w:eastAsia="仿宋"/>
          <w:sz w:val="32"/>
          <w:szCs w:val="32"/>
        </w:rPr>
      </w:pPr>
      <w:r>
        <w:rPr>
          <w:rFonts w:hint="eastAsia" w:ascii="仿宋" w:hAnsi="仿宋" w:eastAsia="仿宋"/>
          <w:sz w:val="32"/>
          <w:szCs w:val="32"/>
        </w:rPr>
        <w:t>3.课程准确把握“坚定学生理想信念，教育学生爱党、爱国、爱社会主义、爱人民、爱集体”主线，结合所在学科专业、所属课程类型的育人要求和特点，深入挖掘</w:t>
      </w:r>
      <w:r>
        <w:rPr>
          <w:rFonts w:eastAsia="方正仿宋_GBK"/>
          <w:snapToGrid w:val="0"/>
          <w:kern w:val="0"/>
          <w:sz w:val="32"/>
          <w:szCs w:val="32"/>
        </w:rPr>
        <w:t>普适性、区域性、校本性</w:t>
      </w:r>
      <w:r>
        <w:rPr>
          <w:rFonts w:hint="eastAsia" w:ascii="仿宋" w:hAnsi="仿宋" w:eastAsia="仿宋"/>
          <w:sz w:val="32"/>
          <w:szCs w:val="32"/>
        </w:rPr>
        <w:t>蕴含的思政教育资源，优化课程思政内容供给。</w:t>
      </w:r>
    </w:p>
    <w:p w14:paraId="325D14F7">
      <w:pPr>
        <w:spacing w:line="580" w:lineRule="exact"/>
        <w:ind w:firstLine="640" w:firstLineChars="200"/>
        <w:rPr>
          <w:rFonts w:ascii="仿宋" w:hAnsi="仿宋" w:eastAsia="仿宋"/>
          <w:sz w:val="32"/>
          <w:szCs w:val="32"/>
        </w:rPr>
      </w:pPr>
      <w:r>
        <w:rPr>
          <w:rFonts w:hint="eastAsia" w:ascii="仿宋" w:hAnsi="仿宋" w:eastAsia="仿宋"/>
          <w:sz w:val="32"/>
          <w:szCs w:val="32"/>
        </w:rPr>
        <w:t>4.课程注重体现学校办学定位和专业特色，注重价值塑造、知识传授与能力培养相统一，科学设计课程目标和教案课件，将思政教育有机融入课程教学，达到润物无声的育人效果。</w:t>
      </w:r>
    </w:p>
    <w:p w14:paraId="21A47789">
      <w:pPr>
        <w:spacing w:line="580" w:lineRule="exact"/>
        <w:ind w:firstLine="640" w:firstLineChars="200"/>
        <w:rPr>
          <w:rFonts w:ascii="仿宋" w:hAnsi="仿宋" w:eastAsia="仿宋"/>
          <w:sz w:val="32"/>
          <w:szCs w:val="32"/>
        </w:rPr>
      </w:pPr>
      <w:r>
        <w:rPr>
          <w:rFonts w:hint="eastAsia" w:ascii="仿宋" w:hAnsi="仿宋" w:eastAsia="仿宋"/>
          <w:sz w:val="32"/>
          <w:szCs w:val="32"/>
        </w:rPr>
        <w:t>5.课程注重课程思政建设模式创新，教学内容体现思想性、前沿性与时代性，教学方法体现先进性、互动性与针对性，形成可供同类课程借鉴共享的经验、成果和模式。</w:t>
      </w:r>
    </w:p>
    <w:p w14:paraId="5CFB5323">
      <w:pPr>
        <w:spacing w:line="600" w:lineRule="exact"/>
        <w:ind w:firstLine="640" w:firstLineChars="200"/>
        <w:rPr>
          <w:rFonts w:ascii="仿宋" w:hAnsi="仿宋" w:eastAsia="仿宋"/>
          <w:sz w:val="32"/>
          <w:szCs w:val="32"/>
        </w:rPr>
      </w:pPr>
      <w:r>
        <w:rPr>
          <w:rFonts w:hint="eastAsia" w:ascii="仿宋" w:hAnsi="仿宋" w:eastAsia="仿宋"/>
          <w:sz w:val="32"/>
          <w:szCs w:val="32"/>
        </w:rPr>
        <w:t>6.课程可由一名教师讲授，也可由教学团队共同讲授。课程负责人能够准确把握本课程开展课程思政建设的方向和重点，并融入课程教学全过程。</w:t>
      </w:r>
      <w:r>
        <w:rPr>
          <w:rFonts w:hint="eastAsia" w:ascii="仿宋" w:hAnsi="仿宋" w:eastAsia="仿宋"/>
          <w:b w:val="0"/>
          <w:bCs w:val="0"/>
          <w:sz w:val="32"/>
          <w:szCs w:val="32"/>
        </w:rPr>
        <w:t>课程教学团队人</w:t>
      </w:r>
      <w:r>
        <w:rPr>
          <w:rFonts w:hint="eastAsia" w:ascii="仿宋" w:hAnsi="仿宋" w:eastAsia="仿宋"/>
          <w:sz w:val="32"/>
          <w:szCs w:val="32"/>
        </w:rPr>
        <w:t>员结构合理，任务分工明确，</w:t>
      </w:r>
      <w:r>
        <w:rPr>
          <w:rFonts w:hint="eastAsia" w:ascii="仿宋" w:hAnsi="仿宋" w:eastAsia="仿宋"/>
          <w:b/>
          <w:bCs/>
          <w:sz w:val="32"/>
          <w:szCs w:val="32"/>
          <w:lang w:eastAsia="zh-CN"/>
        </w:rPr>
        <w:t>必须要有思政课教师参加，</w:t>
      </w:r>
      <w:r>
        <w:rPr>
          <w:rFonts w:hint="eastAsia" w:ascii="仿宋" w:hAnsi="仿宋" w:eastAsia="仿宋"/>
          <w:b/>
          <w:bCs/>
          <w:sz w:val="32"/>
          <w:szCs w:val="32"/>
          <w:lang w:val="en-US" w:eastAsia="zh-CN"/>
        </w:rPr>
        <w:t>专业教师与思政教师结对，有效开展</w:t>
      </w:r>
      <w:r>
        <w:rPr>
          <w:rFonts w:hint="eastAsia" w:ascii="仿宋" w:hAnsi="仿宋" w:eastAsia="仿宋"/>
          <w:b/>
          <w:bCs/>
          <w:sz w:val="32"/>
          <w:szCs w:val="32"/>
        </w:rPr>
        <w:t>课程思政建设教学研究和交流</w:t>
      </w:r>
      <w:r>
        <w:rPr>
          <w:rFonts w:hint="eastAsia" w:ascii="仿宋" w:hAnsi="仿宋" w:eastAsia="仿宋"/>
          <w:b/>
          <w:bCs/>
          <w:sz w:val="32"/>
          <w:szCs w:val="32"/>
          <w:lang w:eastAsia="zh-CN"/>
        </w:rPr>
        <w:t>活动，提高</w:t>
      </w:r>
      <w:r>
        <w:rPr>
          <w:rFonts w:hint="eastAsia" w:ascii="仿宋" w:hAnsi="仿宋" w:eastAsia="仿宋"/>
          <w:b/>
          <w:bCs/>
          <w:sz w:val="32"/>
          <w:szCs w:val="32"/>
        </w:rPr>
        <w:t>课程思政建设水平</w:t>
      </w:r>
      <w:r>
        <w:rPr>
          <w:rFonts w:hint="eastAsia" w:ascii="仿宋" w:hAnsi="仿宋" w:eastAsia="仿宋"/>
          <w:sz w:val="32"/>
          <w:szCs w:val="32"/>
        </w:rPr>
        <w:t>。</w:t>
      </w:r>
      <w:r>
        <w:rPr>
          <w:rFonts w:hint="eastAsia" w:ascii="方正仿宋_GBK" w:eastAsia="方正仿宋_GBK"/>
          <w:sz w:val="32"/>
          <w:szCs w:val="32"/>
        </w:rPr>
        <w:t>课程授课教师政治立场坚定，师德师风良好。</w:t>
      </w:r>
    </w:p>
    <w:p w14:paraId="23DABAEA">
      <w:pPr>
        <w:spacing w:line="580" w:lineRule="exact"/>
        <w:ind w:firstLine="640" w:firstLineChars="200"/>
        <w:rPr>
          <w:rFonts w:ascii="仿宋" w:hAnsi="仿宋" w:eastAsia="仿宋"/>
          <w:sz w:val="32"/>
          <w:szCs w:val="32"/>
        </w:rPr>
      </w:pPr>
      <w:r>
        <w:rPr>
          <w:rFonts w:hint="eastAsia" w:ascii="仿宋" w:hAnsi="仿宋" w:eastAsia="仿宋"/>
          <w:sz w:val="32"/>
          <w:szCs w:val="32"/>
        </w:rPr>
        <w:t>7.课程考核方式和评价办法完善，育人效果显著，学生评教结果优秀，校内外同行专家评价良好，形成较高水平的课程思</w:t>
      </w:r>
      <w:bookmarkStart w:id="0" w:name="_GoBack"/>
      <w:bookmarkEnd w:id="0"/>
      <w:r>
        <w:rPr>
          <w:rFonts w:hint="eastAsia" w:ascii="仿宋" w:hAnsi="仿宋" w:eastAsia="仿宋"/>
          <w:sz w:val="32"/>
          <w:szCs w:val="32"/>
        </w:rPr>
        <w:t>政展示成果，形成课程思政建设示范效应。</w:t>
      </w:r>
    </w:p>
    <w:p w14:paraId="76B8BC50">
      <w:pPr>
        <w:spacing w:line="580" w:lineRule="exact"/>
        <w:ind w:firstLine="640" w:firstLineChars="200"/>
        <w:rPr>
          <w:rFonts w:ascii="仿宋" w:hAnsi="仿宋" w:eastAsia="仿宋"/>
          <w:sz w:val="32"/>
          <w:szCs w:val="32"/>
        </w:rPr>
      </w:pPr>
      <w:r>
        <w:rPr>
          <w:rFonts w:hint="eastAsia" w:ascii="仿宋" w:hAnsi="仿宋" w:eastAsia="仿宋"/>
          <w:sz w:val="32"/>
          <w:szCs w:val="32"/>
        </w:rPr>
        <w:t>8.实践类课程思政示范课程要求教师充分挖掘实践类课程、创新创业课程、社会实践类课程中的思政元素，引导学生注重学思结合、知行统一，提升创新精神，弘扬劳动精神等。充分利用重庆红岩革命纪念馆，涪陵816工程等红色文化资源，结合校史文化等资源，引导教师结合专业课程内容，组织开展丰富多彩的实践类课程思政教学活动，创设“实践课堂+思政”“移动课堂+思政”特色品牌课程。</w:t>
      </w:r>
    </w:p>
    <w:p w14:paraId="16F8A442">
      <w:pPr>
        <w:spacing w:line="580" w:lineRule="exact"/>
        <w:ind w:firstLine="640" w:firstLineChars="200"/>
        <w:rPr>
          <w:rFonts w:eastAsia="方正仿宋_GBK"/>
          <w:bCs/>
          <w:kern w:val="0"/>
          <w:sz w:val="32"/>
          <w:szCs w:val="32"/>
        </w:rPr>
      </w:pPr>
      <w:r>
        <w:rPr>
          <w:rFonts w:hint="eastAsia" w:ascii="仿宋" w:hAnsi="仿宋" w:eastAsia="仿宋"/>
          <w:sz w:val="32"/>
          <w:szCs w:val="32"/>
        </w:rPr>
        <w:t>9.教育家</w:t>
      </w:r>
      <w:r>
        <w:rPr>
          <w:rFonts w:ascii="仿宋" w:hAnsi="仿宋" w:eastAsia="仿宋"/>
          <w:sz w:val="32"/>
          <w:szCs w:val="32"/>
        </w:rPr>
        <w:t>精神</w:t>
      </w:r>
      <w:r>
        <w:rPr>
          <w:rFonts w:hint="eastAsia" w:ascii="仿宋" w:hAnsi="仿宋" w:eastAsia="仿宋"/>
          <w:sz w:val="32"/>
          <w:szCs w:val="32"/>
        </w:rPr>
        <w:t>类课程思政示范课程要求教师聚焦</w:t>
      </w:r>
      <w:r>
        <w:rPr>
          <w:rFonts w:hint="eastAsia" w:eastAsia="方正仿宋_GBK"/>
          <w:color w:val="000000"/>
          <w:sz w:val="33"/>
          <w:szCs w:val="33"/>
        </w:rPr>
        <w:t>全国和重庆市教育大会等</w:t>
      </w:r>
      <w:r>
        <w:rPr>
          <w:rFonts w:hint="eastAsia" w:eastAsia="方正仿宋_GBK"/>
          <w:bCs/>
          <w:kern w:val="0"/>
          <w:sz w:val="32"/>
          <w:szCs w:val="32"/>
        </w:rPr>
        <w:t>精神指示，深刻</w:t>
      </w:r>
      <w:r>
        <w:rPr>
          <w:rFonts w:eastAsia="方正仿宋_GBK"/>
          <w:bCs/>
          <w:kern w:val="0"/>
          <w:sz w:val="32"/>
          <w:szCs w:val="32"/>
        </w:rPr>
        <w:t>把握</w:t>
      </w:r>
      <w:r>
        <w:rPr>
          <w:rFonts w:hint="eastAsia" w:eastAsia="方正仿宋_GBK"/>
          <w:bCs/>
          <w:kern w:val="0"/>
          <w:sz w:val="32"/>
          <w:szCs w:val="32"/>
        </w:rPr>
        <w:t>教育家精神的道德感召力、价值引领力、实践驱动力，探索课程</w:t>
      </w:r>
      <w:r>
        <w:rPr>
          <w:rFonts w:eastAsia="方正仿宋_GBK"/>
          <w:bCs/>
          <w:kern w:val="0"/>
          <w:sz w:val="32"/>
          <w:szCs w:val="32"/>
        </w:rPr>
        <w:t>中的教育家精神元素，</w:t>
      </w:r>
      <w:r>
        <w:rPr>
          <w:rFonts w:hint="eastAsia" w:eastAsia="方正仿宋_GBK"/>
          <w:bCs/>
          <w:kern w:val="0"/>
          <w:sz w:val="32"/>
          <w:szCs w:val="32"/>
        </w:rPr>
        <w:t>将大力弘扬爱国</w:t>
      </w:r>
      <w:r>
        <w:rPr>
          <w:rFonts w:eastAsia="方正仿宋_GBK"/>
          <w:bCs/>
          <w:kern w:val="0"/>
          <w:sz w:val="32"/>
          <w:szCs w:val="32"/>
        </w:rPr>
        <w:t>、</w:t>
      </w:r>
      <w:r>
        <w:rPr>
          <w:rFonts w:hint="eastAsia" w:eastAsia="方正仿宋_GBK"/>
          <w:bCs/>
          <w:kern w:val="0"/>
          <w:sz w:val="32"/>
          <w:szCs w:val="32"/>
        </w:rPr>
        <w:t>敬业</w:t>
      </w:r>
      <w:r>
        <w:rPr>
          <w:rFonts w:eastAsia="方正仿宋_GBK"/>
          <w:bCs/>
          <w:kern w:val="0"/>
          <w:sz w:val="32"/>
          <w:szCs w:val="32"/>
        </w:rPr>
        <w:t>、改革创新等</w:t>
      </w:r>
      <w:r>
        <w:rPr>
          <w:rFonts w:hint="eastAsia" w:eastAsia="方正仿宋_GBK"/>
          <w:bCs/>
          <w:kern w:val="0"/>
          <w:sz w:val="32"/>
          <w:szCs w:val="32"/>
        </w:rPr>
        <w:t>教育家精神与高质量推进课程思政建设有机结合起来。</w:t>
      </w:r>
    </w:p>
    <w:p w14:paraId="7D701416">
      <w:pPr>
        <w:spacing w:line="580" w:lineRule="exact"/>
        <w:ind w:firstLine="640" w:firstLineChars="200"/>
        <w:rPr>
          <w:rFonts w:ascii="黑体" w:hAnsi="黑体" w:eastAsia="黑体"/>
          <w:sz w:val="32"/>
          <w:szCs w:val="32"/>
        </w:rPr>
      </w:pPr>
      <w:r>
        <w:rPr>
          <w:rFonts w:hint="eastAsia" w:ascii="黑体" w:hAnsi="黑体" w:eastAsia="黑体"/>
          <w:sz w:val="32"/>
          <w:szCs w:val="32"/>
        </w:rPr>
        <w:t>（三）认定后持续建设任务</w:t>
      </w:r>
    </w:p>
    <w:p w14:paraId="1D8EC222">
      <w:pPr>
        <w:spacing w:line="580" w:lineRule="exact"/>
        <w:ind w:firstLine="643" w:firstLineChars="200"/>
        <w:rPr>
          <w:rFonts w:ascii="仿宋" w:hAnsi="仿宋" w:eastAsia="仿宋"/>
          <w:sz w:val="32"/>
          <w:szCs w:val="32"/>
        </w:rPr>
      </w:pPr>
      <w:r>
        <w:rPr>
          <w:rFonts w:hint="eastAsia" w:ascii="楷体" w:hAnsi="楷体" w:eastAsia="楷体"/>
          <w:b/>
          <w:bCs/>
          <w:sz w:val="32"/>
          <w:szCs w:val="32"/>
        </w:rPr>
        <w:t>1</w:t>
      </w:r>
      <w:r>
        <w:rPr>
          <w:rFonts w:ascii="楷体" w:hAnsi="楷体" w:eastAsia="楷体"/>
          <w:b/>
          <w:bCs/>
          <w:sz w:val="32"/>
          <w:szCs w:val="32"/>
        </w:rPr>
        <w:t>.</w:t>
      </w:r>
      <w:r>
        <w:rPr>
          <w:rFonts w:hint="eastAsia" w:ascii="楷体" w:hAnsi="楷体" w:eastAsia="楷体"/>
          <w:b/>
          <w:bCs/>
          <w:sz w:val="32"/>
          <w:szCs w:val="32"/>
        </w:rPr>
        <w:t>持续推进课程思政建设。</w:t>
      </w:r>
      <w:r>
        <w:rPr>
          <w:rFonts w:hint="eastAsia" w:ascii="仿宋" w:hAnsi="仿宋" w:eastAsia="仿宋"/>
          <w:sz w:val="32"/>
          <w:szCs w:val="32"/>
        </w:rPr>
        <w:t>持续修订并形成一套能充分呈现课程思政特点和内涵的新教案和新课件。</w:t>
      </w:r>
    </w:p>
    <w:p w14:paraId="6A9BD685">
      <w:pPr>
        <w:spacing w:line="580" w:lineRule="exact"/>
        <w:ind w:firstLine="643" w:firstLineChars="200"/>
        <w:rPr>
          <w:rFonts w:ascii="楷体" w:hAnsi="楷体" w:eastAsia="楷体"/>
          <w:sz w:val="32"/>
          <w:szCs w:val="32"/>
        </w:rPr>
      </w:pPr>
      <w:r>
        <w:rPr>
          <w:rFonts w:hint="eastAsia" w:ascii="楷体" w:hAnsi="楷体" w:eastAsia="楷体"/>
          <w:b/>
          <w:bCs/>
          <w:sz w:val="32"/>
          <w:szCs w:val="32"/>
        </w:rPr>
        <w:t>2</w:t>
      </w:r>
      <w:r>
        <w:rPr>
          <w:rFonts w:ascii="楷体" w:hAnsi="楷体" w:eastAsia="楷体"/>
          <w:b/>
          <w:bCs/>
          <w:sz w:val="32"/>
          <w:szCs w:val="32"/>
        </w:rPr>
        <w:t>.</w:t>
      </w:r>
      <w:r>
        <w:rPr>
          <w:rFonts w:hint="eastAsia" w:ascii="楷体" w:hAnsi="楷体" w:eastAsia="楷体"/>
          <w:b/>
          <w:bCs/>
          <w:sz w:val="32"/>
          <w:szCs w:val="32"/>
        </w:rPr>
        <w:t>新增一批改革典型案例。</w:t>
      </w:r>
      <w:r>
        <w:rPr>
          <w:rFonts w:hint="eastAsia" w:ascii="仿宋" w:hAnsi="仿宋" w:eastAsia="仿宋"/>
          <w:sz w:val="32"/>
          <w:szCs w:val="32"/>
        </w:rPr>
        <w:t>提炼本课程开展课程思政建设中的5个以上典型教学案例，包含教学视频、照片、文字等多种形式。</w:t>
      </w:r>
      <w:r>
        <w:rPr>
          <w:rFonts w:hint="eastAsia" w:ascii="仿宋" w:hAnsi="仿宋" w:eastAsia="仿宋"/>
          <w:b/>
          <w:bCs/>
          <w:sz w:val="32"/>
          <w:szCs w:val="32"/>
        </w:rPr>
        <w:t>其中，每门课程均需提供至少1个融入英模教育特色思政案例。</w:t>
      </w:r>
      <w:r>
        <w:rPr>
          <w:rFonts w:hint="eastAsia" w:ascii="仿宋" w:hAnsi="仿宋" w:eastAsia="仿宋"/>
          <w:sz w:val="32"/>
          <w:szCs w:val="32"/>
        </w:rPr>
        <w:t>教育家精神类课程思政示范课程所提交的5个教学案例均是融入教育家精神元素的典型案例。实践类课程思政示范课程所提交的5个教学案例均为实践课，其中至少提供2个在实践教育基地等非教室进行的实践教学活动。</w:t>
      </w:r>
    </w:p>
    <w:p w14:paraId="05503890">
      <w:pPr>
        <w:spacing w:line="580" w:lineRule="exact"/>
        <w:ind w:firstLine="643" w:firstLineChars="200"/>
        <w:rPr>
          <w:rFonts w:ascii="仿宋" w:hAnsi="仿宋" w:eastAsia="仿宋"/>
          <w:b/>
          <w:bCs/>
          <w:sz w:val="32"/>
          <w:szCs w:val="32"/>
        </w:rPr>
      </w:pPr>
      <w:r>
        <w:rPr>
          <w:rFonts w:hint="eastAsia" w:ascii="楷体" w:hAnsi="楷体" w:eastAsia="楷体"/>
          <w:b/>
          <w:bCs/>
          <w:sz w:val="32"/>
          <w:szCs w:val="32"/>
        </w:rPr>
        <w:t>3</w:t>
      </w:r>
      <w:r>
        <w:rPr>
          <w:rFonts w:ascii="楷体" w:hAnsi="楷体" w:eastAsia="楷体"/>
          <w:b/>
          <w:bCs/>
          <w:sz w:val="32"/>
          <w:szCs w:val="32"/>
        </w:rPr>
        <w:t>.</w:t>
      </w:r>
      <w:r>
        <w:rPr>
          <w:rFonts w:hint="eastAsia" w:ascii="楷体" w:hAnsi="楷体" w:eastAsia="楷体"/>
          <w:b/>
          <w:bCs/>
          <w:sz w:val="32"/>
          <w:szCs w:val="32"/>
        </w:rPr>
        <w:t>展示</w:t>
      </w:r>
      <w:r>
        <w:rPr>
          <w:rFonts w:hint="eastAsia" w:ascii="楷体" w:hAnsi="楷体" w:eastAsia="楷体"/>
          <w:b/>
          <w:bCs/>
          <w:sz w:val="32"/>
          <w:szCs w:val="32"/>
          <w:lang w:eastAsia="zh-CN"/>
        </w:rPr>
        <w:t>一</w:t>
      </w:r>
      <w:r>
        <w:rPr>
          <w:rFonts w:hint="eastAsia" w:ascii="楷体" w:hAnsi="楷体" w:eastAsia="楷体"/>
          <w:b/>
          <w:bCs/>
          <w:sz w:val="32"/>
          <w:szCs w:val="32"/>
        </w:rPr>
        <w:t>堂示范公开课。</w:t>
      </w:r>
      <w:r>
        <w:rPr>
          <w:rFonts w:hint="eastAsia" w:ascii="仿宋" w:hAnsi="仿宋" w:eastAsia="仿宋"/>
          <w:sz w:val="32"/>
          <w:szCs w:val="32"/>
        </w:rPr>
        <w:t>以课程思政建设项目成果为载体，面向课程所在教学院和全校师生上</w:t>
      </w:r>
      <w:r>
        <w:rPr>
          <w:rFonts w:hint="eastAsia" w:ascii="仿宋" w:hAnsi="仿宋" w:eastAsia="仿宋"/>
          <w:sz w:val="32"/>
          <w:szCs w:val="32"/>
          <w:lang w:eastAsia="zh-CN"/>
        </w:rPr>
        <w:t>一</w:t>
      </w:r>
      <w:r>
        <w:rPr>
          <w:rFonts w:hint="eastAsia" w:ascii="仿宋" w:hAnsi="仿宋" w:eastAsia="仿宋"/>
          <w:sz w:val="32"/>
          <w:szCs w:val="32"/>
        </w:rPr>
        <w:t>堂高质量的课程思政示范公开课。</w:t>
      </w:r>
      <w:r>
        <w:rPr>
          <w:rFonts w:hint="eastAsia" w:ascii="仿宋" w:hAnsi="仿宋" w:eastAsia="仿宋"/>
          <w:b/>
          <w:bCs/>
          <w:sz w:val="32"/>
          <w:szCs w:val="32"/>
        </w:rPr>
        <w:t>其中，教育家精神课程思政示范课程需展示教育家精神元素的课程思政示范课；实践类课程思政示范课程需结合学科专业展示融入创新精神、劳动精神等元素，公开示范课程需在实践教育基地完成。</w:t>
      </w:r>
    </w:p>
    <w:p w14:paraId="3DD700AC">
      <w:pPr>
        <w:spacing w:line="580" w:lineRule="exact"/>
        <w:ind w:firstLine="643" w:firstLineChars="200"/>
        <w:rPr>
          <w:rFonts w:ascii="仿宋" w:hAnsi="仿宋" w:eastAsia="仿宋"/>
          <w:b/>
          <w:bCs/>
          <w:sz w:val="32"/>
          <w:szCs w:val="32"/>
        </w:rPr>
      </w:pPr>
      <w:r>
        <w:rPr>
          <w:rFonts w:hint="eastAsia" w:ascii="仿宋" w:hAnsi="仿宋" w:eastAsia="仿宋"/>
          <w:b/>
          <w:sz w:val="32"/>
          <w:szCs w:val="32"/>
        </w:rPr>
        <w:t>4</w:t>
      </w:r>
      <w:r>
        <w:rPr>
          <w:rFonts w:ascii="仿宋" w:hAnsi="仿宋" w:eastAsia="仿宋"/>
          <w:b/>
          <w:sz w:val="32"/>
          <w:szCs w:val="32"/>
        </w:rPr>
        <w:t>.</w:t>
      </w:r>
      <w:r>
        <w:rPr>
          <w:rFonts w:hint="eastAsia" w:ascii="楷体" w:hAnsi="楷体" w:eastAsia="楷体"/>
          <w:b/>
          <w:bCs/>
          <w:sz w:val="32"/>
          <w:szCs w:val="32"/>
        </w:rPr>
        <w:t>凝练一份可推广的建设方案。</w:t>
      </w:r>
      <w:r>
        <w:rPr>
          <w:rFonts w:hint="eastAsia" w:ascii="仿宋" w:hAnsi="仿宋" w:eastAsia="仿宋"/>
          <w:sz w:val="32"/>
          <w:szCs w:val="32"/>
        </w:rPr>
        <w:t>结合课程实际，研究制定包括建设目标、建设内容、具体举措、保障措施、效果评价等在内的课程教学改革方案。主要论证整门课程的课程思政建设思路，包括建设目标、思政内容挖掘及教学融入等情况，并总结课程思政建设的特色、亮点和创新点。</w:t>
      </w:r>
    </w:p>
    <w:p w14:paraId="116BF764">
      <w:pPr>
        <w:tabs>
          <w:tab w:val="left" w:pos="627"/>
        </w:tabs>
        <w:spacing w:line="600" w:lineRule="exact"/>
        <w:ind w:firstLine="640" w:firstLineChars="200"/>
        <w:jc w:val="left"/>
        <w:rPr>
          <w:rFonts w:eastAsia="方正黑体_GBK"/>
          <w:bCs/>
          <w:kern w:val="0"/>
          <w:sz w:val="32"/>
          <w:szCs w:val="32"/>
        </w:rPr>
      </w:pPr>
      <w:r>
        <w:rPr>
          <w:rFonts w:hint="eastAsia" w:eastAsia="方正黑体_GBK"/>
          <w:bCs/>
          <w:kern w:val="0"/>
          <w:sz w:val="32"/>
          <w:szCs w:val="32"/>
        </w:rPr>
        <w:t>三、课程思政优秀教学案例</w:t>
      </w:r>
    </w:p>
    <w:p w14:paraId="4348B501">
      <w:pPr>
        <w:spacing w:line="580" w:lineRule="exact"/>
        <w:ind w:firstLine="640" w:firstLineChars="200"/>
        <w:rPr>
          <w:rFonts w:ascii="黑体" w:hAnsi="黑体" w:eastAsia="黑体"/>
          <w:sz w:val="32"/>
          <w:szCs w:val="32"/>
        </w:rPr>
      </w:pPr>
      <w:r>
        <w:rPr>
          <w:rFonts w:hint="eastAsia" w:ascii="黑体" w:hAnsi="黑体" w:eastAsia="黑体"/>
          <w:sz w:val="32"/>
          <w:szCs w:val="32"/>
        </w:rPr>
        <w:t>（一）评选数量</w:t>
      </w:r>
    </w:p>
    <w:p w14:paraId="4F4CF95C">
      <w:pPr>
        <w:spacing w:line="580" w:lineRule="exact"/>
        <w:ind w:firstLine="640" w:firstLineChars="200"/>
        <w:rPr>
          <w:rFonts w:ascii="方正仿宋_GBK" w:eastAsia="方正仿宋_GBK"/>
          <w:b/>
          <w:bCs/>
          <w:kern w:val="0"/>
          <w:sz w:val="32"/>
          <w:szCs w:val="32"/>
        </w:rPr>
      </w:pPr>
      <w:r>
        <w:rPr>
          <w:rFonts w:hint="eastAsia" w:ascii="方正仿宋_GBK" w:eastAsia="方正仿宋_GBK"/>
          <w:sz w:val="32"/>
          <w:szCs w:val="32"/>
        </w:rPr>
        <w:t>本次评选突出“两性一度”和“课程思政”深度融合，充分体现“以学生为中心”理念，可复制、可推广的课程示范案例。</w:t>
      </w:r>
      <w:r>
        <w:rPr>
          <w:rFonts w:hint="eastAsia" w:ascii="仿宋" w:hAnsi="仿宋" w:eastAsia="仿宋"/>
          <w:sz w:val="32"/>
          <w:szCs w:val="32"/>
        </w:rPr>
        <w:t>本次拟评选30个左右的课程思政优秀案例（含教学案例和工作案例）。</w:t>
      </w:r>
    </w:p>
    <w:p w14:paraId="793BEE0C">
      <w:pPr>
        <w:spacing w:line="580" w:lineRule="exact"/>
        <w:ind w:firstLine="640" w:firstLineChars="200"/>
        <w:rPr>
          <w:rFonts w:ascii="黑体" w:hAnsi="黑体" w:eastAsia="黑体"/>
          <w:sz w:val="32"/>
          <w:szCs w:val="32"/>
        </w:rPr>
      </w:pPr>
      <w:r>
        <w:rPr>
          <w:rFonts w:hint="eastAsia" w:ascii="黑体" w:hAnsi="黑体" w:eastAsia="黑体"/>
          <w:sz w:val="32"/>
          <w:szCs w:val="32"/>
        </w:rPr>
        <w:t>（二）内容要求</w:t>
      </w:r>
    </w:p>
    <w:p w14:paraId="71D7E9E0">
      <w:pPr>
        <w:spacing w:line="580" w:lineRule="exact"/>
        <w:ind w:firstLine="640" w:firstLineChars="200"/>
        <w:rPr>
          <w:rFonts w:ascii="仿宋" w:hAnsi="仿宋" w:eastAsia="仿宋"/>
          <w:sz w:val="32"/>
          <w:szCs w:val="32"/>
        </w:rPr>
      </w:pPr>
      <w:r>
        <w:rPr>
          <w:rFonts w:hint="eastAsia" w:ascii="仿宋" w:hAnsi="仿宋" w:eastAsia="仿宋"/>
          <w:sz w:val="32"/>
          <w:szCs w:val="32"/>
        </w:rPr>
        <w:t>案例申报按照教学案例和工作案例两个类别分别进行。</w:t>
      </w:r>
    </w:p>
    <w:p w14:paraId="0C3B26D6">
      <w:pPr>
        <w:spacing w:line="580" w:lineRule="exact"/>
        <w:ind w:firstLine="643" w:firstLineChars="200"/>
        <w:rPr>
          <w:rFonts w:ascii="仿宋" w:hAnsi="仿宋" w:eastAsia="仿宋"/>
          <w:b/>
          <w:bCs/>
          <w:sz w:val="32"/>
          <w:szCs w:val="32"/>
        </w:rPr>
      </w:pPr>
      <w:r>
        <w:rPr>
          <w:rFonts w:hint="eastAsia" w:ascii="仿宋" w:hAnsi="仿宋" w:eastAsia="仿宋"/>
          <w:b/>
          <w:bCs/>
          <w:sz w:val="32"/>
          <w:szCs w:val="32"/>
        </w:rPr>
        <w:t>优秀教学案例包括课程思政教学案例、英模教育特色思政案例两类。</w:t>
      </w:r>
      <w:r>
        <w:rPr>
          <w:rFonts w:hint="eastAsia" w:ascii="仿宋" w:hAnsi="仿宋" w:eastAsia="仿宋"/>
          <w:sz w:val="32"/>
          <w:szCs w:val="32"/>
        </w:rPr>
        <w:t>参加教学案例评选的教师，首先应明确整门课程的课程思政建设总体思路，然后以课程中的一个教学环节或知识点展开，优化课程育人教学设计，在方法手段、组织实施等方面积极创新，用学生喜闻乐见、润物细无声的方式开展思政教育，实现价值性和知识性的统一。鼓励教师结合专业实践课程内容，组织开展丰富多彩的实践类课程思政教学活动，形成经典的实践课程教学案例。</w:t>
      </w:r>
      <w:r>
        <w:rPr>
          <w:rFonts w:hint="eastAsia" w:ascii="仿宋" w:hAnsi="仿宋" w:eastAsia="仿宋"/>
          <w:b/>
          <w:bCs/>
          <w:sz w:val="32"/>
          <w:szCs w:val="32"/>
        </w:rPr>
        <w:t>英模教育特色思政案例，要求教师整合与专业、课程密切相关的英雄、模范人物，形成深度融入英模教育元素的课程思政示范案例，传承英模精神。</w:t>
      </w:r>
    </w:p>
    <w:p w14:paraId="37C4CE92">
      <w:pPr>
        <w:spacing w:line="580" w:lineRule="exact"/>
        <w:ind w:firstLine="640" w:firstLineChars="200"/>
        <w:rPr>
          <w:rFonts w:ascii="仿宋" w:hAnsi="仿宋" w:eastAsia="方正仿宋_GBK"/>
          <w:sz w:val="32"/>
          <w:szCs w:val="32"/>
        </w:rPr>
      </w:pPr>
      <w:r>
        <w:rPr>
          <w:rFonts w:hint="eastAsia" w:ascii="仿宋" w:hAnsi="仿宋" w:eastAsia="方正仿宋_GBK"/>
          <w:sz w:val="32"/>
          <w:szCs w:val="32"/>
        </w:rPr>
        <w:t>此外，</w:t>
      </w:r>
      <w:r>
        <w:rPr>
          <w:rFonts w:hint="eastAsia" w:ascii="方正仿宋_GBK" w:eastAsia="方正仿宋_GBK"/>
          <w:kern w:val="0"/>
          <w:sz w:val="32"/>
          <w:szCs w:val="32"/>
        </w:rPr>
        <w:t>优秀教学案例需注重典型性和实效性，结合课程特点和要求，突出案例的示范引领作用，强化案例在课程教学过程中的价值性、真实性和新颖性。案例文字简洁，语言精炼，可辅以相关的图片和文字说明。</w:t>
      </w:r>
    </w:p>
    <w:p w14:paraId="04B67A02">
      <w:pPr>
        <w:spacing w:line="580" w:lineRule="exact"/>
        <w:ind w:firstLine="640" w:firstLineChars="200"/>
        <w:rPr>
          <w:rFonts w:ascii="方正仿宋_GBK" w:eastAsia="方正仿宋_GBK"/>
          <w:kern w:val="0"/>
          <w:sz w:val="32"/>
          <w:szCs w:val="32"/>
        </w:rPr>
      </w:pPr>
      <w:r>
        <w:rPr>
          <w:rFonts w:hint="eastAsia" w:ascii="方正仿宋_GBK" w:eastAsia="方正仿宋_GBK"/>
          <w:kern w:val="0"/>
          <w:sz w:val="32"/>
          <w:szCs w:val="32"/>
        </w:rPr>
        <w:t>优秀工作案例需要各教学单位结合学科特点和专业特色，围绕学院、专业的课程思政建设方案，凝练思政育人特色，聚焦课程思政建设的突出问题，有针对性进行教学改革和实践探索，在工作中推进理念、思路、形式、方法手段等方面积极创新，打造新时代课程思政工作案例。</w:t>
      </w:r>
    </w:p>
    <w:p w14:paraId="7E610B7A">
      <w:pPr>
        <w:spacing w:line="580" w:lineRule="exact"/>
        <w:ind w:firstLine="640" w:firstLineChars="200"/>
        <w:rPr>
          <w:rFonts w:ascii="黑体" w:hAnsi="黑体" w:eastAsia="黑体"/>
          <w:sz w:val="32"/>
          <w:szCs w:val="32"/>
        </w:rPr>
      </w:pPr>
      <w:r>
        <w:rPr>
          <w:rFonts w:hint="eastAsia" w:ascii="黑体" w:hAnsi="黑体" w:eastAsia="黑体"/>
          <w:sz w:val="32"/>
          <w:szCs w:val="32"/>
        </w:rPr>
        <w:t>四、业绩认定</w:t>
      </w:r>
    </w:p>
    <w:p w14:paraId="71A4E2EA">
      <w:pPr>
        <w:spacing w:line="580" w:lineRule="exact"/>
        <w:ind w:firstLine="640" w:firstLineChars="200"/>
        <w:rPr>
          <w:rFonts w:ascii="仿宋" w:hAnsi="仿宋" w:eastAsia="仿宋"/>
          <w:sz w:val="32"/>
          <w:szCs w:val="32"/>
          <w:highlight w:val="yellow"/>
        </w:rPr>
      </w:pPr>
      <w:r>
        <w:rPr>
          <w:rFonts w:hint="eastAsia" w:ascii="仿宋" w:hAnsi="仿宋" w:eastAsia="仿宋"/>
          <w:sz w:val="32"/>
          <w:szCs w:val="32"/>
        </w:rPr>
        <w:t>对立项项目和案例按照《教学业绩认定与计分办法（试行）》（长师院发〔202</w:t>
      </w:r>
      <w:r>
        <w:rPr>
          <w:rFonts w:hint="eastAsia" w:ascii="仿宋" w:hAnsi="仿宋" w:eastAsia="仿宋"/>
          <w:sz w:val="32"/>
          <w:szCs w:val="32"/>
          <w:lang w:val="en-US" w:eastAsia="zh-CN"/>
        </w:rPr>
        <w:t>5</w:t>
      </w:r>
      <w:r>
        <w:rPr>
          <w:rFonts w:hint="eastAsia" w:ascii="仿宋" w:hAnsi="仿宋" w:eastAsia="仿宋"/>
          <w:sz w:val="32"/>
          <w:szCs w:val="32"/>
        </w:rPr>
        <w:t>〕</w:t>
      </w:r>
      <w:r>
        <w:rPr>
          <w:rFonts w:hint="eastAsia" w:ascii="仿宋" w:hAnsi="仿宋" w:eastAsia="仿宋"/>
          <w:sz w:val="32"/>
          <w:szCs w:val="32"/>
          <w:lang w:val="en-US" w:eastAsia="zh-CN"/>
        </w:rPr>
        <w:t>5</w:t>
      </w:r>
      <w:r>
        <w:rPr>
          <w:rFonts w:hint="eastAsia" w:ascii="仿宋" w:hAnsi="仿宋" w:eastAsia="仿宋"/>
          <w:sz w:val="32"/>
          <w:szCs w:val="32"/>
        </w:rPr>
        <w:t>号）进行教学业绩认定，并予以一定的经费支持，将于2年后完成验收总结汇报。</w:t>
      </w:r>
    </w:p>
    <w:p w14:paraId="02C4648B">
      <w:pPr>
        <w:spacing w:line="580" w:lineRule="exact"/>
        <w:ind w:firstLine="640" w:firstLineChars="200"/>
        <w:rPr>
          <w:rFonts w:ascii="黑体" w:hAnsi="黑体" w:eastAsia="黑体"/>
          <w:sz w:val="32"/>
          <w:szCs w:val="32"/>
        </w:rPr>
      </w:pPr>
      <w:r>
        <w:rPr>
          <w:rFonts w:hint="eastAsia" w:ascii="黑体" w:hAnsi="黑体" w:eastAsia="黑体"/>
          <w:sz w:val="32"/>
          <w:szCs w:val="32"/>
        </w:rPr>
        <w:t>五、材料提交与评审</w:t>
      </w:r>
    </w:p>
    <w:p w14:paraId="154D59E9">
      <w:pPr>
        <w:spacing w:line="580" w:lineRule="exact"/>
        <w:ind w:firstLine="640" w:firstLineChars="200"/>
        <w:rPr>
          <w:rFonts w:ascii="仿宋" w:hAnsi="仿宋" w:eastAsia="仿宋"/>
          <w:color w:val="000000" w:themeColor="text1"/>
          <w:sz w:val="32"/>
          <w:szCs w:val="32"/>
        </w:rPr>
      </w:pPr>
      <w:r>
        <w:rPr>
          <w:rFonts w:hint="eastAsia" w:ascii="仿宋" w:hAnsi="仿宋" w:eastAsia="仿宋"/>
          <w:sz w:val="32"/>
          <w:szCs w:val="32"/>
        </w:rPr>
        <w:t>1.本次申报实行限额申报，课程思政示范课程各类别分别</w:t>
      </w:r>
      <w:r>
        <w:rPr>
          <w:rFonts w:hint="eastAsia" w:ascii="仿宋" w:hAnsi="仿宋" w:eastAsia="仿宋"/>
          <w:color w:val="000000" w:themeColor="text1"/>
          <w:sz w:val="32"/>
          <w:szCs w:val="32"/>
        </w:rPr>
        <w:t>不超过2门，即总数不超过6门。</w:t>
      </w:r>
    </w:p>
    <w:p w14:paraId="2B7721DC">
      <w:pPr>
        <w:spacing w:line="580" w:lineRule="exact"/>
        <w:ind w:firstLine="640" w:firstLineChars="200"/>
        <w:rPr>
          <w:rFonts w:ascii="仿宋" w:hAnsi="仿宋" w:eastAsia="仿宋"/>
          <w:sz w:val="32"/>
          <w:szCs w:val="32"/>
          <w:shd w:val="clear" w:color="auto" w:fill="FFFF00"/>
        </w:rPr>
      </w:pPr>
      <w:r>
        <w:rPr>
          <w:rFonts w:hint="eastAsia" w:ascii="仿宋" w:hAnsi="仿宋" w:eastAsia="仿宋"/>
          <w:sz w:val="32"/>
          <w:szCs w:val="32"/>
        </w:rPr>
        <w:t>课程思政优秀教学案例不超过5个，其中</w:t>
      </w:r>
      <w:r>
        <w:rPr>
          <w:rFonts w:hint="eastAsia" w:ascii="仿宋" w:hAnsi="仿宋" w:eastAsia="仿宋"/>
          <w:b/>
          <w:bCs/>
          <w:sz w:val="32"/>
          <w:szCs w:val="32"/>
        </w:rPr>
        <w:t>英模教育特色思政案例不少于2个。教学单位至少提交1个课程思政工作案例</w:t>
      </w:r>
      <w:r>
        <w:rPr>
          <w:rFonts w:hint="eastAsia" w:ascii="仿宋" w:hAnsi="仿宋" w:eastAsia="仿宋"/>
          <w:sz w:val="32"/>
          <w:szCs w:val="32"/>
        </w:rPr>
        <w:t>(已经获评</w:t>
      </w:r>
      <w:r>
        <w:rPr>
          <w:rFonts w:ascii="仿宋" w:hAnsi="仿宋" w:eastAsia="仿宋"/>
          <w:sz w:val="32"/>
          <w:szCs w:val="32"/>
        </w:rPr>
        <w:t>校级及以上工作案例</w:t>
      </w:r>
      <w:r>
        <w:rPr>
          <w:rFonts w:hint="eastAsia" w:ascii="仿宋" w:hAnsi="仿宋" w:eastAsia="仿宋"/>
          <w:sz w:val="32"/>
          <w:szCs w:val="32"/>
        </w:rPr>
        <w:t>的</w:t>
      </w:r>
      <w:r>
        <w:rPr>
          <w:rFonts w:ascii="仿宋" w:hAnsi="仿宋" w:eastAsia="仿宋"/>
          <w:sz w:val="32"/>
          <w:szCs w:val="32"/>
        </w:rPr>
        <w:t>学院可不提交</w:t>
      </w:r>
      <w:r>
        <w:rPr>
          <w:rFonts w:hint="eastAsia" w:ascii="仿宋" w:hAnsi="仿宋" w:eastAsia="仿宋"/>
          <w:sz w:val="32"/>
          <w:szCs w:val="32"/>
        </w:rPr>
        <w:t>)。</w:t>
      </w:r>
    </w:p>
    <w:p w14:paraId="3971A944">
      <w:pPr>
        <w:spacing w:line="580" w:lineRule="exact"/>
        <w:ind w:firstLine="640" w:firstLineChars="200"/>
        <w:rPr>
          <w:rFonts w:ascii="仿宋" w:hAnsi="仿宋" w:eastAsia="仿宋"/>
          <w:sz w:val="32"/>
          <w:szCs w:val="32"/>
        </w:rPr>
      </w:pPr>
      <w:r>
        <w:rPr>
          <w:rFonts w:hint="eastAsia" w:ascii="仿宋" w:hAnsi="仿宋" w:eastAsia="仿宋"/>
          <w:sz w:val="32"/>
          <w:szCs w:val="32"/>
        </w:rPr>
        <w:t>2.申请示范专业认定的负责人需提交示范</w:t>
      </w:r>
      <w:r>
        <w:rPr>
          <w:rFonts w:ascii="仿宋" w:hAnsi="仿宋" w:eastAsia="仿宋"/>
          <w:sz w:val="32"/>
          <w:szCs w:val="32"/>
        </w:rPr>
        <w:t>专业</w:t>
      </w:r>
      <w:r>
        <w:rPr>
          <w:rFonts w:hint="eastAsia" w:ascii="仿宋" w:hAnsi="仿宋" w:eastAsia="仿宋"/>
          <w:sz w:val="32"/>
          <w:szCs w:val="32"/>
        </w:rPr>
        <w:t>申报书（附件1）</w:t>
      </w:r>
      <w:r>
        <w:rPr>
          <w:rFonts w:ascii="仿宋" w:hAnsi="仿宋" w:eastAsia="仿宋"/>
          <w:sz w:val="32"/>
          <w:szCs w:val="32"/>
        </w:rPr>
        <w:t>、</w:t>
      </w:r>
      <w:r>
        <w:rPr>
          <w:rFonts w:hint="eastAsia" w:ascii="仿宋" w:hAnsi="仿宋" w:eastAsia="仿宋"/>
          <w:sz w:val="32"/>
          <w:szCs w:val="32"/>
        </w:rPr>
        <w:t>申请示范课程认定的负责人需提交示范课程申报书（附件</w:t>
      </w:r>
      <w:r>
        <w:rPr>
          <w:rFonts w:ascii="仿宋" w:hAnsi="仿宋" w:eastAsia="仿宋"/>
          <w:sz w:val="32"/>
          <w:szCs w:val="32"/>
        </w:rPr>
        <w:t>2</w:t>
      </w:r>
      <w:r>
        <w:rPr>
          <w:rFonts w:hint="eastAsia" w:ascii="仿宋" w:hAnsi="仿宋" w:eastAsia="仿宋"/>
          <w:sz w:val="32"/>
          <w:szCs w:val="32"/>
        </w:rPr>
        <w:t>）、均需填写推荐汇总表（附件</w:t>
      </w:r>
      <w:r>
        <w:rPr>
          <w:rFonts w:ascii="仿宋" w:hAnsi="仿宋" w:eastAsia="仿宋"/>
          <w:sz w:val="32"/>
          <w:szCs w:val="32"/>
        </w:rPr>
        <w:t>3</w:t>
      </w:r>
      <w:r>
        <w:rPr>
          <w:rFonts w:hint="eastAsia" w:ascii="仿宋" w:hAnsi="仿宋" w:eastAsia="仿宋"/>
          <w:sz w:val="32"/>
          <w:szCs w:val="32"/>
        </w:rPr>
        <w:t>）。参评优秀案例的教师需提交</w:t>
      </w:r>
      <w:r>
        <w:rPr>
          <w:rFonts w:hint="eastAsia" w:eastAsia="方正仿宋_GBK"/>
          <w:sz w:val="32"/>
          <w:szCs w:val="32"/>
        </w:rPr>
        <w:t>案例纸质材料</w:t>
      </w:r>
      <w:r>
        <w:rPr>
          <w:rFonts w:hint="eastAsia" w:ascii="仿宋" w:hAnsi="仿宋" w:eastAsia="仿宋"/>
          <w:sz w:val="32"/>
          <w:szCs w:val="32"/>
        </w:rPr>
        <w:t>（样表可参考附件</w:t>
      </w:r>
      <w:r>
        <w:rPr>
          <w:rFonts w:ascii="仿宋" w:hAnsi="仿宋" w:eastAsia="仿宋"/>
          <w:sz w:val="32"/>
          <w:szCs w:val="32"/>
        </w:rPr>
        <w:t>4</w:t>
      </w:r>
      <w:r>
        <w:rPr>
          <w:rFonts w:hint="eastAsia" w:ascii="仿宋" w:hAnsi="仿宋" w:eastAsia="仿宋"/>
          <w:sz w:val="32"/>
          <w:szCs w:val="32"/>
        </w:rPr>
        <w:t>）、推荐汇总表（附件</w:t>
      </w:r>
      <w:r>
        <w:rPr>
          <w:rFonts w:ascii="仿宋" w:hAnsi="仿宋" w:eastAsia="仿宋"/>
          <w:sz w:val="32"/>
          <w:szCs w:val="32"/>
        </w:rPr>
        <w:t>5</w:t>
      </w:r>
      <w:r>
        <w:rPr>
          <w:rFonts w:hint="eastAsia" w:ascii="仿宋" w:hAnsi="仿宋" w:eastAsia="仿宋"/>
          <w:sz w:val="32"/>
          <w:szCs w:val="32"/>
        </w:rPr>
        <w:t>）。</w:t>
      </w:r>
    </w:p>
    <w:p w14:paraId="3BE9D5CD">
      <w:pPr>
        <w:spacing w:line="580" w:lineRule="exact"/>
        <w:ind w:firstLine="640" w:firstLineChars="200"/>
        <w:rPr>
          <w:rFonts w:hint="eastAsia" w:eastAsia="仿宋"/>
          <w:sz w:val="32"/>
          <w:szCs w:val="32"/>
        </w:rPr>
      </w:pPr>
      <w:r>
        <w:rPr>
          <w:rFonts w:hint="eastAsia" w:ascii="仿宋" w:hAnsi="仿宋" w:eastAsia="仿宋"/>
          <w:sz w:val="32"/>
          <w:szCs w:val="32"/>
        </w:rPr>
        <w:t>3.各教学院</w:t>
      </w:r>
      <w:r>
        <w:rPr>
          <w:rFonts w:hint="eastAsia" w:ascii="仿宋_GB2312" w:hAnsi="仿宋" w:eastAsia="仿宋_GB2312"/>
          <w:kern w:val="0"/>
          <w:sz w:val="32"/>
          <w:szCs w:val="32"/>
          <w:lang w:val="en-US" w:eastAsia="zh-CN"/>
        </w:rPr>
        <w:t>遴选推荐的项目应于2026年5月15日前登录长江师范教科研项目管理系统（https://v1935.kypt.chaoxing.com/）进行申报（操作手册见附件6）,由院级管理员完成审核。</w:t>
      </w:r>
      <w:r>
        <w:rPr>
          <w:rFonts w:hint="eastAsia" w:ascii="仿宋" w:hAnsi="仿宋" w:eastAsia="仿宋"/>
          <w:sz w:val="32"/>
          <w:szCs w:val="32"/>
          <w:lang w:eastAsia="zh-CN"/>
        </w:rPr>
        <w:t>并</w:t>
      </w:r>
      <w:r>
        <w:rPr>
          <w:rFonts w:hint="eastAsia" w:ascii="仿宋" w:hAnsi="仿宋" w:eastAsia="仿宋"/>
          <w:sz w:val="32"/>
          <w:szCs w:val="32"/>
        </w:rPr>
        <w:t>将加盖</w:t>
      </w:r>
      <w:r>
        <w:rPr>
          <w:rFonts w:hint="eastAsia" w:ascii="仿宋" w:hAnsi="仿宋" w:eastAsia="仿宋"/>
          <w:sz w:val="32"/>
          <w:szCs w:val="32"/>
          <w:lang w:eastAsia="zh-CN"/>
        </w:rPr>
        <w:t>学院</w:t>
      </w:r>
      <w:r>
        <w:rPr>
          <w:rFonts w:hint="eastAsia" w:ascii="仿宋" w:hAnsi="仿宋" w:eastAsia="仿宋"/>
          <w:sz w:val="32"/>
          <w:szCs w:val="32"/>
        </w:rPr>
        <w:t>公章后</w:t>
      </w:r>
      <w:r>
        <w:rPr>
          <w:rFonts w:hint="eastAsia" w:ascii="仿宋" w:hAnsi="仿宋" w:eastAsia="仿宋"/>
          <w:sz w:val="32"/>
          <w:szCs w:val="32"/>
          <w:lang w:eastAsia="zh-CN"/>
        </w:rPr>
        <w:t>的示范专业或项目</w:t>
      </w:r>
      <w:r>
        <w:rPr>
          <w:rFonts w:hint="eastAsia" w:ascii="仿宋" w:hAnsi="仿宋" w:eastAsia="仿宋"/>
          <w:sz w:val="32"/>
          <w:szCs w:val="32"/>
        </w:rPr>
        <w:t>申报书1份、</w:t>
      </w:r>
      <w:r>
        <w:rPr>
          <w:rFonts w:hint="eastAsia" w:eastAsia="方正仿宋_GBK"/>
          <w:sz w:val="32"/>
          <w:szCs w:val="32"/>
        </w:rPr>
        <w:t>案例纸质原稿</w:t>
      </w:r>
      <w:r>
        <w:rPr>
          <w:rFonts w:hint="eastAsia" w:ascii="仿宋" w:hAnsi="仿宋" w:eastAsia="仿宋"/>
          <w:sz w:val="32"/>
          <w:szCs w:val="32"/>
        </w:rPr>
        <w:t>1份、课程思政示范课程汇总表1份、优秀案例汇总表1份，报送教务处教师教学发展中心（致远楼212室），</w:t>
      </w:r>
      <w:r>
        <w:rPr>
          <w:rFonts w:hint="eastAsia" w:eastAsia="仿宋"/>
          <w:sz w:val="32"/>
          <w:szCs w:val="32"/>
        </w:rPr>
        <w:t>同时将电子文档以“教学院</w:t>
      </w:r>
      <w:r>
        <w:rPr>
          <w:rFonts w:eastAsia="仿宋"/>
          <w:sz w:val="32"/>
          <w:szCs w:val="32"/>
        </w:rPr>
        <w:t>+</w:t>
      </w:r>
      <w:r>
        <w:rPr>
          <w:rFonts w:hint="eastAsia" w:eastAsia="仿宋"/>
          <w:sz w:val="32"/>
          <w:szCs w:val="32"/>
        </w:rPr>
        <w:t>课程思政+（示范专业/示范课程/优秀案例）”命名文件包和邮件主题方式发送至</w:t>
      </w:r>
      <w:r>
        <w:rPr>
          <w:rFonts w:eastAsia="仿宋"/>
          <w:sz w:val="32"/>
          <w:szCs w:val="32"/>
        </w:rPr>
        <w:t>jfzx_2023@163.com</w:t>
      </w:r>
      <w:r>
        <w:rPr>
          <w:rFonts w:hint="eastAsia" w:eastAsia="仿宋"/>
          <w:sz w:val="32"/>
          <w:szCs w:val="32"/>
        </w:rPr>
        <w:t>，本项目不受理个人申报。</w:t>
      </w:r>
    </w:p>
    <w:p w14:paraId="19583E16">
      <w:pPr>
        <w:spacing w:line="580" w:lineRule="exact"/>
        <w:ind w:firstLine="640" w:firstLineChars="200"/>
        <w:rPr>
          <w:rFonts w:ascii="仿宋" w:hAnsi="仿宋" w:eastAsia="仿宋"/>
          <w:sz w:val="32"/>
          <w:szCs w:val="32"/>
        </w:rPr>
      </w:pPr>
      <w:r>
        <w:rPr>
          <w:rFonts w:hint="eastAsia" w:ascii="仿宋" w:hAnsi="仿宋" w:eastAsia="仿宋"/>
          <w:sz w:val="32"/>
          <w:szCs w:val="32"/>
        </w:rPr>
        <w:t>4.学校将组织专家对审查合格的申报书进行评审，择优遴选公示及认定。</w:t>
      </w:r>
    </w:p>
    <w:p w14:paraId="08AFCFD4">
      <w:pPr>
        <w:spacing w:line="580" w:lineRule="exact"/>
        <w:ind w:firstLine="640" w:firstLineChars="200"/>
        <w:rPr>
          <w:rFonts w:ascii="黑体" w:hAnsi="黑体" w:eastAsia="黑体"/>
          <w:sz w:val="32"/>
          <w:szCs w:val="32"/>
        </w:rPr>
      </w:pPr>
      <w:r>
        <w:rPr>
          <w:rFonts w:hint="eastAsia" w:ascii="黑体" w:hAnsi="黑体" w:eastAsia="黑体"/>
          <w:sz w:val="32"/>
          <w:szCs w:val="32"/>
        </w:rPr>
        <w:t>六、工作要求</w:t>
      </w:r>
    </w:p>
    <w:p w14:paraId="0A3F29AF">
      <w:pPr>
        <w:spacing w:line="580" w:lineRule="exact"/>
        <w:ind w:firstLine="640" w:firstLineChars="200"/>
        <w:rPr>
          <w:rFonts w:ascii="仿宋" w:hAnsi="仿宋" w:eastAsia="仿宋"/>
          <w:sz w:val="32"/>
          <w:szCs w:val="32"/>
        </w:rPr>
      </w:pPr>
      <w:r>
        <w:rPr>
          <w:rFonts w:hint="eastAsia" w:ascii="仿宋" w:hAnsi="仿宋" w:eastAsia="仿宋"/>
          <w:sz w:val="32"/>
          <w:szCs w:val="32"/>
        </w:rPr>
        <w:t>1.各教学院应根据专业/课程性质及其培养目标对本院推荐申报的项目及案例进行把关与审核，不得存在政治性、思想性、科学性和规范性问题以及侵犯知识产权的问题。各</w:t>
      </w:r>
      <w:r>
        <w:rPr>
          <w:rFonts w:hint="eastAsia" w:ascii="仿宋" w:hAnsi="仿宋" w:eastAsia="仿宋"/>
          <w:sz w:val="32"/>
          <w:szCs w:val="32"/>
          <w:lang w:eastAsia="zh-CN"/>
        </w:rPr>
        <w:t>学院</w:t>
      </w:r>
      <w:r>
        <w:rPr>
          <w:rFonts w:hint="eastAsia" w:ascii="仿宋" w:hAnsi="仿宋" w:eastAsia="仿宋"/>
          <w:sz w:val="32"/>
          <w:szCs w:val="32"/>
        </w:rPr>
        <w:t>党支部对团队成员情况进行审查，对课程政治导向严格把关，确保正确的政治方向、价值取向。</w:t>
      </w:r>
    </w:p>
    <w:p w14:paraId="3E4DE0BC">
      <w:pPr>
        <w:spacing w:line="580" w:lineRule="exact"/>
        <w:ind w:firstLine="640" w:firstLineChars="200"/>
        <w:rPr>
          <w:rFonts w:ascii="仿宋" w:hAnsi="仿宋" w:eastAsia="仿宋"/>
          <w:sz w:val="32"/>
          <w:szCs w:val="32"/>
        </w:rPr>
      </w:pPr>
      <w:r>
        <w:rPr>
          <w:rFonts w:hint="eastAsia" w:ascii="仿宋" w:hAnsi="仿宋" w:eastAsia="仿宋"/>
          <w:sz w:val="32"/>
          <w:szCs w:val="32"/>
        </w:rPr>
        <w:t>2.获评课程思政工作案例的教学单位</w:t>
      </w:r>
      <w:r>
        <w:rPr>
          <w:rFonts w:hint="eastAsia" w:ascii="仿宋" w:hAnsi="仿宋" w:eastAsia="仿宋"/>
          <w:sz w:val="32"/>
          <w:szCs w:val="32"/>
          <w:lang w:eastAsia="zh-CN"/>
        </w:rPr>
        <w:t>，</w:t>
      </w:r>
      <w:r>
        <w:rPr>
          <w:rFonts w:hint="eastAsia" w:ascii="仿宋" w:hAnsi="仿宋" w:eastAsia="仿宋"/>
          <w:sz w:val="32"/>
          <w:szCs w:val="32"/>
        </w:rPr>
        <w:t>牵头单位可申请设立课程思政教学研究分中心</w:t>
      </w:r>
      <w:r>
        <w:rPr>
          <w:rFonts w:hint="eastAsia" w:ascii="仿宋" w:hAnsi="仿宋" w:eastAsia="仿宋"/>
          <w:sz w:val="32"/>
          <w:szCs w:val="32"/>
          <w:lang w:eastAsia="zh-CN"/>
        </w:rPr>
        <w:t>，</w:t>
      </w:r>
      <w:r>
        <w:rPr>
          <w:rFonts w:hint="eastAsia" w:ascii="仿宋" w:hAnsi="仿宋" w:eastAsia="仿宋"/>
          <w:sz w:val="32"/>
          <w:szCs w:val="32"/>
        </w:rPr>
        <w:t>教务处将优先支持。</w:t>
      </w:r>
    </w:p>
    <w:p w14:paraId="759B7E80">
      <w:pPr>
        <w:spacing w:line="580" w:lineRule="exact"/>
        <w:ind w:firstLine="640" w:firstLineChars="200"/>
        <w:rPr>
          <w:rFonts w:ascii="仿宋" w:hAnsi="仿宋" w:eastAsia="仿宋"/>
          <w:sz w:val="32"/>
          <w:szCs w:val="32"/>
        </w:rPr>
      </w:pPr>
      <w:r>
        <w:rPr>
          <w:rFonts w:hint="eastAsia" w:ascii="仿宋" w:hAnsi="仿宋" w:eastAsia="仿宋"/>
          <w:sz w:val="32"/>
          <w:szCs w:val="32"/>
        </w:rPr>
        <w:t>3.课程思政示范专业、示范课程和优秀案例推荐认定（获评）情况</w:t>
      </w:r>
      <w:r>
        <w:rPr>
          <w:rFonts w:hint="eastAsia" w:ascii="仿宋" w:hAnsi="仿宋" w:eastAsia="仿宋"/>
          <w:sz w:val="32"/>
          <w:szCs w:val="32"/>
          <w:lang w:eastAsia="zh-CN"/>
        </w:rPr>
        <w:t>，</w:t>
      </w:r>
      <w:r>
        <w:rPr>
          <w:rFonts w:hint="eastAsia" w:ascii="仿宋" w:hAnsi="仿宋" w:eastAsia="仿宋"/>
          <w:sz w:val="32"/>
          <w:szCs w:val="32"/>
        </w:rPr>
        <w:t>已经纳入教学单位年度党建考核和教学工作考核的重要指标</w:t>
      </w:r>
      <w:r>
        <w:rPr>
          <w:rFonts w:hint="eastAsia" w:ascii="仿宋" w:hAnsi="仿宋" w:eastAsia="仿宋"/>
          <w:sz w:val="32"/>
          <w:szCs w:val="32"/>
          <w:lang w:eastAsia="zh-CN"/>
        </w:rPr>
        <w:t>，</w:t>
      </w:r>
      <w:r>
        <w:rPr>
          <w:rFonts w:hint="eastAsia" w:ascii="仿宋" w:hAnsi="仿宋" w:eastAsia="仿宋"/>
          <w:sz w:val="32"/>
          <w:szCs w:val="32"/>
        </w:rPr>
        <w:t>其中对未报送工作案例的教学单位进行酌情扣分处理。</w:t>
      </w:r>
    </w:p>
    <w:p w14:paraId="02B4EDBA">
      <w:pPr>
        <w:spacing w:line="580" w:lineRule="exact"/>
        <w:ind w:firstLine="640" w:firstLineChars="200"/>
        <w:rPr>
          <w:rFonts w:ascii="仿宋" w:hAnsi="仿宋" w:eastAsia="仿宋"/>
          <w:sz w:val="32"/>
          <w:szCs w:val="32"/>
        </w:rPr>
      </w:pPr>
      <w:r>
        <w:rPr>
          <w:rFonts w:hint="eastAsia" w:ascii="仿宋" w:hAnsi="仿宋" w:eastAsia="仿宋"/>
          <w:sz w:val="32"/>
          <w:szCs w:val="32"/>
        </w:rPr>
        <w:t>联系人及联系电话：胡俊飞</w:t>
      </w:r>
      <w:r>
        <w:rPr>
          <w:rFonts w:ascii="仿宋" w:hAnsi="仿宋" w:eastAsia="仿宋"/>
          <w:sz w:val="32"/>
          <w:szCs w:val="32"/>
        </w:rPr>
        <w:t>、</w:t>
      </w:r>
      <w:r>
        <w:rPr>
          <w:rFonts w:hint="eastAsia" w:ascii="仿宋" w:hAnsi="仿宋" w:eastAsia="仿宋"/>
          <w:sz w:val="32"/>
          <w:szCs w:val="32"/>
          <w:lang w:eastAsia="zh-CN"/>
        </w:rPr>
        <w:t>陈娜娜</w:t>
      </w:r>
      <w:r>
        <w:rPr>
          <w:rFonts w:hint="eastAsia" w:ascii="仿宋" w:hAnsi="仿宋" w:eastAsia="仿宋"/>
          <w:sz w:val="32"/>
          <w:szCs w:val="32"/>
        </w:rPr>
        <w:t>，72792285。</w:t>
      </w:r>
    </w:p>
    <w:p w14:paraId="650F2B73">
      <w:pPr>
        <w:spacing w:line="580" w:lineRule="exact"/>
        <w:ind w:firstLine="560" w:firstLineChars="200"/>
        <w:rPr>
          <w:rFonts w:ascii="仿宋" w:hAnsi="仿宋" w:eastAsia="仿宋"/>
          <w:sz w:val="28"/>
          <w:szCs w:val="28"/>
        </w:rPr>
      </w:pPr>
      <w:r>
        <w:rPr>
          <w:rFonts w:hint="eastAsia" w:ascii="仿宋" w:hAnsi="仿宋" w:eastAsia="仿宋"/>
          <w:sz w:val="28"/>
          <w:szCs w:val="28"/>
        </w:rPr>
        <w:t>附件</w:t>
      </w:r>
    </w:p>
    <w:p w14:paraId="5101C8A3">
      <w:pPr>
        <w:spacing w:line="580" w:lineRule="exact"/>
        <w:ind w:firstLine="560" w:firstLineChars="200"/>
        <w:rPr>
          <w:rFonts w:ascii="仿宋" w:hAnsi="仿宋" w:eastAsia="仿宋"/>
          <w:sz w:val="28"/>
          <w:szCs w:val="28"/>
        </w:rPr>
      </w:pPr>
      <w:r>
        <w:rPr>
          <w:rFonts w:hint="eastAsia" w:ascii="仿宋" w:hAnsi="仿宋" w:eastAsia="仿宋"/>
          <w:sz w:val="28"/>
          <w:szCs w:val="28"/>
        </w:rPr>
        <w:t>1.长江师范学院202</w:t>
      </w:r>
      <w:r>
        <w:rPr>
          <w:rFonts w:hint="eastAsia" w:ascii="仿宋" w:hAnsi="仿宋" w:eastAsia="仿宋"/>
          <w:sz w:val="28"/>
          <w:szCs w:val="28"/>
          <w:lang w:val="en-US" w:eastAsia="zh-CN"/>
        </w:rPr>
        <w:t>6</w:t>
      </w:r>
      <w:r>
        <w:rPr>
          <w:rFonts w:hint="eastAsia" w:ascii="仿宋" w:hAnsi="仿宋" w:eastAsia="仿宋"/>
          <w:sz w:val="28"/>
          <w:szCs w:val="28"/>
        </w:rPr>
        <w:t>年度课程思政示范专业申报书</w:t>
      </w:r>
    </w:p>
    <w:p w14:paraId="5BF02F8F">
      <w:pPr>
        <w:spacing w:line="580" w:lineRule="exact"/>
        <w:ind w:firstLine="560" w:firstLineChars="200"/>
        <w:rPr>
          <w:rFonts w:ascii="仿宋" w:hAnsi="仿宋" w:eastAsia="仿宋"/>
          <w:sz w:val="32"/>
          <w:szCs w:val="32"/>
        </w:rPr>
      </w:pPr>
      <w:r>
        <w:rPr>
          <w:rFonts w:ascii="仿宋" w:hAnsi="仿宋" w:eastAsia="仿宋"/>
          <w:sz w:val="28"/>
          <w:szCs w:val="28"/>
        </w:rPr>
        <w:t>2</w:t>
      </w:r>
      <w:r>
        <w:rPr>
          <w:rFonts w:hint="eastAsia" w:ascii="仿宋" w:hAnsi="仿宋" w:eastAsia="仿宋"/>
          <w:sz w:val="28"/>
          <w:szCs w:val="28"/>
        </w:rPr>
        <w:t>.长江师范学院202</w:t>
      </w:r>
      <w:r>
        <w:rPr>
          <w:rFonts w:hint="eastAsia" w:ascii="仿宋" w:hAnsi="仿宋" w:eastAsia="仿宋"/>
          <w:sz w:val="28"/>
          <w:szCs w:val="28"/>
          <w:lang w:val="en-US" w:eastAsia="zh-CN"/>
        </w:rPr>
        <w:t>6</w:t>
      </w:r>
      <w:r>
        <w:rPr>
          <w:rFonts w:hint="eastAsia" w:ascii="仿宋" w:hAnsi="仿宋" w:eastAsia="仿宋"/>
          <w:sz w:val="28"/>
          <w:szCs w:val="28"/>
        </w:rPr>
        <w:t>年度课程思政示范课程申报书</w:t>
      </w:r>
    </w:p>
    <w:p w14:paraId="5818ACC3">
      <w:pPr>
        <w:spacing w:line="580" w:lineRule="exact"/>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.长江师范学院202</w:t>
      </w:r>
      <w:r>
        <w:rPr>
          <w:rFonts w:hint="eastAsia" w:ascii="仿宋" w:hAnsi="仿宋" w:eastAsia="仿宋"/>
          <w:sz w:val="28"/>
          <w:szCs w:val="28"/>
          <w:lang w:val="en-US" w:eastAsia="zh-CN"/>
        </w:rPr>
        <w:t>6</w:t>
      </w:r>
      <w:r>
        <w:rPr>
          <w:rFonts w:hint="eastAsia" w:ascii="仿宋" w:hAnsi="仿宋" w:eastAsia="仿宋"/>
          <w:sz w:val="28"/>
          <w:szCs w:val="28"/>
        </w:rPr>
        <w:t>年度课程思政示范专业及示范课程申报汇总表</w:t>
      </w:r>
    </w:p>
    <w:p w14:paraId="52C31EA2">
      <w:pPr>
        <w:spacing w:line="580" w:lineRule="exact"/>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.长江师范学院课程思政优秀案例填写样例（样表）</w:t>
      </w:r>
    </w:p>
    <w:p w14:paraId="229DCAAA">
      <w:pPr>
        <w:spacing w:line="580" w:lineRule="exact"/>
        <w:ind w:firstLine="560" w:firstLineChars="200"/>
        <w:rPr>
          <w:rFonts w:hint="eastAsia" w:ascii="仿宋" w:hAnsi="仿宋" w:eastAsia="仿宋"/>
          <w:sz w:val="28"/>
          <w:szCs w:val="28"/>
        </w:rPr>
      </w:pPr>
      <w:r>
        <w:rPr>
          <w:rFonts w:ascii="仿宋" w:hAnsi="仿宋" w:eastAsia="仿宋"/>
          <w:sz w:val="28"/>
          <w:szCs w:val="28"/>
        </w:rPr>
        <w:t>5</w:t>
      </w:r>
      <w:r>
        <w:rPr>
          <w:rFonts w:hint="eastAsia" w:ascii="仿宋" w:hAnsi="仿宋" w:eastAsia="仿宋"/>
          <w:sz w:val="28"/>
          <w:szCs w:val="28"/>
        </w:rPr>
        <w:t>.长江师范学院课程思政优秀案例申报汇总表</w:t>
      </w:r>
    </w:p>
    <w:p w14:paraId="14830FA7">
      <w:pPr>
        <w:spacing w:line="580" w:lineRule="exact"/>
        <w:ind w:firstLine="560" w:firstLineChars="200"/>
        <w:rPr>
          <w:rFonts w:hint="eastAsia" w:ascii="仿宋" w:hAnsi="仿宋" w:eastAsia="仿宋"/>
          <w:sz w:val="28"/>
          <w:szCs w:val="28"/>
        </w:rPr>
      </w:pPr>
      <w:r>
        <w:rPr>
          <w:rFonts w:hint="eastAsia" w:ascii="仿宋" w:hAnsi="仿宋" w:eastAsia="仿宋"/>
          <w:sz w:val="28"/>
          <w:szCs w:val="28"/>
        </w:rPr>
        <w:t>6.教科研项目管理系统使用手册</w:t>
      </w:r>
    </w:p>
    <w:p w14:paraId="06839E7C">
      <w:pPr>
        <w:spacing w:line="580" w:lineRule="exact"/>
        <w:ind w:firstLine="560" w:firstLineChars="200"/>
        <w:rPr>
          <w:rFonts w:hint="eastAsia" w:ascii="仿宋" w:hAnsi="仿宋" w:eastAsia="仿宋"/>
          <w:sz w:val="28"/>
          <w:szCs w:val="28"/>
        </w:rPr>
      </w:pPr>
    </w:p>
    <w:p w14:paraId="1291B3D9">
      <w:pPr>
        <w:spacing w:line="580" w:lineRule="exact"/>
        <w:jc w:val="right"/>
        <w:rPr>
          <w:rFonts w:ascii="仿宋" w:hAnsi="仿宋" w:eastAsia="仿宋"/>
          <w:sz w:val="32"/>
          <w:szCs w:val="32"/>
        </w:rPr>
      </w:pPr>
      <w:r>
        <w:rPr>
          <w:rFonts w:hint="eastAsia" w:ascii="仿宋" w:hAnsi="仿宋" w:eastAsia="仿宋"/>
          <w:sz w:val="32"/>
          <w:szCs w:val="32"/>
        </w:rPr>
        <w:t>长江师范学院</w:t>
      </w:r>
    </w:p>
    <w:p w14:paraId="57B38AA2">
      <w:pPr>
        <w:spacing w:line="580" w:lineRule="exact"/>
        <w:jc w:val="right"/>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4</w:t>
      </w:r>
      <w:r>
        <w:rPr>
          <w:rFonts w:hint="eastAsia" w:ascii="仿宋" w:hAnsi="仿宋" w:eastAsia="仿宋"/>
          <w:sz w:val="32"/>
          <w:szCs w:val="32"/>
        </w:rPr>
        <w:t>月</w:t>
      </w:r>
      <w:r>
        <w:rPr>
          <w:rFonts w:hint="eastAsia" w:ascii="仿宋" w:hAnsi="仿宋" w:eastAsia="仿宋"/>
          <w:sz w:val="32"/>
          <w:szCs w:val="32"/>
          <w:lang w:val="en-US" w:eastAsia="zh-CN"/>
        </w:rPr>
        <w:t>7</w:t>
      </w:r>
      <w:r>
        <w:rPr>
          <w:rFonts w:hint="eastAsia" w:ascii="仿宋" w:hAnsi="仿宋" w:eastAsia="仿宋"/>
          <w:sz w:val="32"/>
          <w:szCs w:val="32"/>
        </w:rPr>
        <w:t>日</w:t>
      </w:r>
    </w:p>
    <w:sectPr>
      <w:footerReference r:id="rId3" w:type="default"/>
      <w:footerReference r:id="rId4" w:type="even"/>
      <w:pgSz w:w="11906" w:h="16838"/>
      <w:pgMar w:top="2098" w:right="1474" w:bottom="1985"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46461">
    <w:pPr>
      <w:pStyle w:val="3"/>
      <w:jc w:val="right"/>
      <w:rPr>
        <w:rFonts w:ascii="方正仿宋_GBK" w:eastAsia="方正仿宋_GBK"/>
        <w:sz w:val="28"/>
        <w:szCs w:val="28"/>
      </w:rPr>
    </w:pPr>
    <w:r>
      <w:rPr>
        <w:rFonts w:hint="eastAsia" w:ascii="方正仿宋_GBK" w:eastAsia="方正仿宋_GBK"/>
        <w:sz w:val="28"/>
        <w:szCs w:val="28"/>
      </w:rPr>
      <w:fldChar w:fldCharType="begin"/>
    </w:r>
    <w:r>
      <w:rPr>
        <w:rFonts w:hint="eastAsia" w:ascii="方正仿宋_GBK" w:eastAsia="方正仿宋_GBK"/>
        <w:sz w:val="28"/>
        <w:szCs w:val="28"/>
      </w:rPr>
      <w:instrText xml:space="preserve"> PAGE   \* MERGEFORMAT </w:instrText>
    </w:r>
    <w:r>
      <w:rPr>
        <w:rFonts w:hint="eastAsia" w:ascii="方正仿宋_GBK" w:eastAsia="方正仿宋_GBK"/>
        <w:sz w:val="28"/>
        <w:szCs w:val="28"/>
      </w:rPr>
      <w:fldChar w:fldCharType="separate"/>
    </w:r>
    <w:r>
      <w:rPr>
        <w:rFonts w:ascii="方正仿宋_GBK" w:eastAsia="方正仿宋_GBK"/>
        <w:sz w:val="28"/>
        <w:szCs w:val="28"/>
        <w:lang w:val="zh-CN"/>
      </w:rPr>
      <w:t>-</w:t>
    </w:r>
    <w:r>
      <w:rPr>
        <w:rFonts w:ascii="方正仿宋_GBK" w:eastAsia="方正仿宋_GBK"/>
        <w:sz w:val="28"/>
        <w:szCs w:val="28"/>
      </w:rPr>
      <w:t xml:space="preserve"> 10 -</w:t>
    </w:r>
    <w:r>
      <w:rPr>
        <w:rFonts w:hint="eastAsia" w:ascii="方正仿宋_GBK" w:eastAsia="方正仿宋_GBK"/>
        <w:sz w:val="28"/>
        <w:szCs w:val="28"/>
      </w:rPr>
      <w:fldChar w:fldCharType="end"/>
    </w:r>
  </w:p>
  <w:p w14:paraId="55AEE1DC">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D8F08">
    <w:pPr>
      <w:pStyle w:val="3"/>
      <w:rPr>
        <w:rFonts w:ascii="方正仿宋_GBK" w:eastAsia="方正仿宋_GBK"/>
        <w:sz w:val="28"/>
        <w:szCs w:val="28"/>
      </w:rPr>
    </w:pPr>
    <w:r>
      <w:rPr>
        <w:rFonts w:hint="eastAsia" w:ascii="方正仿宋_GBK" w:eastAsia="方正仿宋_GBK"/>
        <w:sz w:val="28"/>
        <w:szCs w:val="28"/>
      </w:rPr>
      <w:fldChar w:fldCharType="begin"/>
    </w:r>
    <w:r>
      <w:rPr>
        <w:rFonts w:hint="eastAsia" w:ascii="方正仿宋_GBK" w:eastAsia="方正仿宋_GBK"/>
        <w:sz w:val="28"/>
        <w:szCs w:val="28"/>
      </w:rPr>
      <w:instrText xml:space="preserve">PAGE   \* MERGEFORMAT</w:instrText>
    </w:r>
    <w:r>
      <w:rPr>
        <w:rFonts w:hint="eastAsia" w:ascii="方正仿宋_GBK" w:eastAsia="方正仿宋_GBK"/>
        <w:sz w:val="28"/>
        <w:szCs w:val="28"/>
      </w:rPr>
      <w:fldChar w:fldCharType="separate"/>
    </w:r>
    <w:r>
      <w:rPr>
        <w:rFonts w:ascii="方正仿宋_GBK" w:eastAsia="方正仿宋_GBK"/>
        <w:sz w:val="28"/>
        <w:szCs w:val="28"/>
        <w:lang w:val="zh-CN"/>
      </w:rPr>
      <w:t>-</w:t>
    </w:r>
    <w:r>
      <w:rPr>
        <w:rFonts w:ascii="方正仿宋_GBK" w:eastAsia="方正仿宋_GBK"/>
        <w:sz w:val="28"/>
        <w:szCs w:val="28"/>
      </w:rPr>
      <w:t xml:space="preserve"> 4 -</w:t>
    </w:r>
    <w:r>
      <w:rPr>
        <w:rFonts w:hint="eastAsia" w:ascii="方正仿宋_GBK" w:eastAsia="方正仿宋_GBK"/>
        <w:sz w:val="28"/>
        <w:szCs w:val="28"/>
      </w:rPr>
      <w:fldChar w:fldCharType="end"/>
    </w:r>
  </w:p>
  <w:p w14:paraId="1D0A03DD">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Y5MGU2MjZmYjNkZTZiMjZhYmZjZmQ3Y2FjYmJkYmYifQ=="/>
  </w:docVars>
  <w:rsids>
    <w:rsidRoot w:val="00FD629A"/>
    <w:rsid w:val="00014EE6"/>
    <w:rsid w:val="00027735"/>
    <w:rsid w:val="0003614C"/>
    <w:rsid w:val="00054DEE"/>
    <w:rsid w:val="0009607E"/>
    <w:rsid w:val="000B46B6"/>
    <w:rsid w:val="001104E7"/>
    <w:rsid w:val="0013187F"/>
    <w:rsid w:val="0019619E"/>
    <w:rsid w:val="001A47F5"/>
    <w:rsid w:val="001C10D6"/>
    <w:rsid w:val="001C41B0"/>
    <w:rsid w:val="001C5FA8"/>
    <w:rsid w:val="001E6FD2"/>
    <w:rsid w:val="00281478"/>
    <w:rsid w:val="002A6D15"/>
    <w:rsid w:val="002B6CCC"/>
    <w:rsid w:val="002E289C"/>
    <w:rsid w:val="002E7555"/>
    <w:rsid w:val="00305DC8"/>
    <w:rsid w:val="00317FD5"/>
    <w:rsid w:val="00375C0E"/>
    <w:rsid w:val="00383DA5"/>
    <w:rsid w:val="003A4F1F"/>
    <w:rsid w:val="003F115F"/>
    <w:rsid w:val="00407724"/>
    <w:rsid w:val="00422B51"/>
    <w:rsid w:val="00425A29"/>
    <w:rsid w:val="00447B03"/>
    <w:rsid w:val="0047314B"/>
    <w:rsid w:val="004C3AB9"/>
    <w:rsid w:val="004C4112"/>
    <w:rsid w:val="004F5463"/>
    <w:rsid w:val="00533BB5"/>
    <w:rsid w:val="005617E8"/>
    <w:rsid w:val="005D0BBD"/>
    <w:rsid w:val="005D713B"/>
    <w:rsid w:val="005F1C9B"/>
    <w:rsid w:val="00616F7D"/>
    <w:rsid w:val="00627B7D"/>
    <w:rsid w:val="006B25DB"/>
    <w:rsid w:val="006B5EE4"/>
    <w:rsid w:val="007025F1"/>
    <w:rsid w:val="00710C62"/>
    <w:rsid w:val="00721142"/>
    <w:rsid w:val="00784A8A"/>
    <w:rsid w:val="007A0D57"/>
    <w:rsid w:val="007A3B64"/>
    <w:rsid w:val="00812306"/>
    <w:rsid w:val="00815B31"/>
    <w:rsid w:val="0086057B"/>
    <w:rsid w:val="00863562"/>
    <w:rsid w:val="008664C1"/>
    <w:rsid w:val="00895EC8"/>
    <w:rsid w:val="008C19EB"/>
    <w:rsid w:val="008F2F2B"/>
    <w:rsid w:val="00986352"/>
    <w:rsid w:val="009936AC"/>
    <w:rsid w:val="009E2D9D"/>
    <w:rsid w:val="00A2374E"/>
    <w:rsid w:val="00A36208"/>
    <w:rsid w:val="00A842C7"/>
    <w:rsid w:val="00AA0BEB"/>
    <w:rsid w:val="00AB66CF"/>
    <w:rsid w:val="00AE2E6D"/>
    <w:rsid w:val="00AF081B"/>
    <w:rsid w:val="00B027BA"/>
    <w:rsid w:val="00B865D5"/>
    <w:rsid w:val="00B95FE0"/>
    <w:rsid w:val="00BB4077"/>
    <w:rsid w:val="00BB6BF7"/>
    <w:rsid w:val="00BF1447"/>
    <w:rsid w:val="00C02A7D"/>
    <w:rsid w:val="00C060D8"/>
    <w:rsid w:val="00C16E37"/>
    <w:rsid w:val="00C25ADD"/>
    <w:rsid w:val="00C6796C"/>
    <w:rsid w:val="00C76F4D"/>
    <w:rsid w:val="00C877C0"/>
    <w:rsid w:val="00CC08A2"/>
    <w:rsid w:val="00D27D45"/>
    <w:rsid w:val="00D40043"/>
    <w:rsid w:val="00D7398C"/>
    <w:rsid w:val="00DB4C3B"/>
    <w:rsid w:val="00DC1B07"/>
    <w:rsid w:val="00E27D57"/>
    <w:rsid w:val="00E54CC7"/>
    <w:rsid w:val="00E869EB"/>
    <w:rsid w:val="00E86FE5"/>
    <w:rsid w:val="00E92984"/>
    <w:rsid w:val="00EB1C0E"/>
    <w:rsid w:val="00EB6634"/>
    <w:rsid w:val="00FB373C"/>
    <w:rsid w:val="00FB63E4"/>
    <w:rsid w:val="00FC0D2A"/>
    <w:rsid w:val="00FD629A"/>
    <w:rsid w:val="00FF41C5"/>
    <w:rsid w:val="00FF4D26"/>
    <w:rsid w:val="021F556D"/>
    <w:rsid w:val="02664583"/>
    <w:rsid w:val="02896F36"/>
    <w:rsid w:val="02953272"/>
    <w:rsid w:val="03195E75"/>
    <w:rsid w:val="04043713"/>
    <w:rsid w:val="042E4F51"/>
    <w:rsid w:val="044E5286"/>
    <w:rsid w:val="045741C8"/>
    <w:rsid w:val="046E793F"/>
    <w:rsid w:val="04A610F7"/>
    <w:rsid w:val="04DC26E4"/>
    <w:rsid w:val="05646619"/>
    <w:rsid w:val="059E1945"/>
    <w:rsid w:val="05A74218"/>
    <w:rsid w:val="06A72A7B"/>
    <w:rsid w:val="06F47095"/>
    <w:rsid w:val="072F5540"/>
    <w:rsid w:val="07316C79"/>
    <w:rsid w:val="075C5981"/>
    <w:rsid w:val="077A1C81"/>
    <w:rsid w:val="07E114CF"/>
    <w:rsid w:val="07EC2E3C"/>
    <w:rsid w:val="095F13EB"/>
    <w:rsid w:val="09740483"/>
    <w:rsid w:val="09955D28"/>
    <w:rsid w:val="09A95338"/>
    <w:rsid w:val="0A6F70C3"/>
    <w:rsid w:val="0A8B454A"/>
    <w:rsid w:val="0A97461C"/>
    <w:rsid w:val="0AE26D13"/>
    <w:rsid w:val="0B825D4B"/>
    <w:rsid w:val="0BE93009"/>
    <w:rsid w:val="0C387E16"/>
    <w:rsid w:val="0C60610B"/>
    <w:rsid w:val="0C683EAF"/>
    <w:rsid w:val="0C7025A6"/>
    <w:rsid w:val="0E26697C"/>
    <w:rsid w:val="0EB00D91"/>
    <w:rsid w:val="0F016C2E"/>
    <w:rsid w:val="0F8570FA"/>
    <w:rsid w:val="0F993C12"/>
    <w:rsid w:val="10305E2E"/>
    <w:rsid w:val="103E748F"/>
    <w:rsid w:val="10855BDB"/>
    <w:rsid w:val="10C85AC8"/>
    <w:rsid w:val="10E6370C"/>
    <w:rsid w:val="114E25FA"/>
    <w:rsid w:val="11812B3C"/>
    <w:rsid w:val="119966E1"/>
    <w:rsid w:val="120C5D0C"/>
    <w:rsid w:val="125E20ED"/>
    <w:rsid w:val="12641821"/>
    <w:rsid w:val="12C5223C"/>
    <w:rsid w:val="13192D1E"/>
    <w:rsid w:val="13645F7C"/>
    <w:rsid w:val="13AC2EB3"/>
    <w:rsid w:val="13F346B5"/>
    <w:rsid w:val="143119D2"/>
    <w:rsid w:val="14553D9A"/>
    <w:rsid w:val="14735965"/>
    <w:rsid w:val="147C72F5"/>
    <w:rsid w:val="14C149A3"/>
    <w:rsid w:val="14E920A0"/>
    <w:rsid w:val="154467F1"/>
    <w:rsid w:val="15897F1C"/>
    <w:rsid w:val="15BB1367"/>
    <w:rsid w:val="16755A7E"/>
    <w:rsid w:val="16B0726F"/>
    <w:rsid w:val="17967879"/>
    <w:rsid w:val="17BD752C"/>
    <w:rsid w:val="17CF005E"/>
    <w:rsid w:val="188D40F3"/>
    <w:rsid w:val="1AF1019A"/>
    <w:rsid w:val="1AFE04C8"/>
    <w:rsid w:val="1C471F7E"/>
    <w:rsid w:val="1C687C73"/>
    <w:rsid w:val="1CA752D6"/>
    <w:rsid w:val="1CDD28FB"/>
    <w:rsid w:val="1D4C3FFE"/>
    <w:rsid w:val="1DCD7725"/>
    <w:rsid w:val="1E3B3AC0"/>
    <w:rsid w:val="1E4F7829"/>
    <w:rsid w:val="1F022AED"/>
    <w:rsid w:val="1F594E5D"/>
    <w:rsid w:val="2000702C"/>
    <w:rsid w:val="204108F6"/>
    <w:rsid w:val="208B3B86"/>
    <w:rsid w:val="20931C4F"/>
    <w:rsid w:val="209C6787"/>
    <w:rsid w:val="218C39FC"/>
    <w:rsid w:val="21FA5CFD"/>
    <w:rsid w:val="21FF3314"/>
    <w:rsid w:val="22BF57A3"/>
    <w:rsid w:val="22E42C35"/>
    <w:rsid w:val="23843AD1"/>
    <w:rsid w:val="23F52C20"/>
    <w:rsid w:val="23F72873"/>
    <w:rsid w:val="244914FB"/>
    <w:rsid w:val="250151F4"/>
    <w:rsid w:val="254559E2"/>
    <w:rsid w:val="260A4A60"/>
    <w:rsid w:val="260B3316"/>
    <w:rsid w:val="261464EA"/>
    <w:rsid w:val="26A56DF7"/>
    <w:rsid w:val="284035F2"/>
    <w:rsid w:val="28A77C47"/>
    <w:rsid w:val="29085A34"/>
    <w:rsid w:val="299C3663"/>
    <w:rsid w:val="29A8600C"/>
    <w:rsid w:val="29B50E88"/>
    <w:rsid w:val="29F76452"/>
    <w:rsid w:val="2A335E1D"/>
    <w:rsid w:val="2AA83C9D"/>
    <w:rsid w:val="2ADB3485"/>
    <w:rsid w:val="2AED204B"/>
    <w:rsid w:val="2B38198C"/>
    <w:rsid w:val="2B507C14"/>
    <w:rsid w:val="2B841ADD"/>
    <w:rsid w:val="2BFF0CCD"/>
    <w:rsid w:val="2C6009FD"/>
    <w:rsid w:val="2CBA4A07"/>
    <w:rsid w:val="2CF236EC"/>
    <w:rsid w:val="2D09055B"/>
    <w:rsid w:val="2E2C0564"/>
    <w:rsid w:val="2E4D3FA5"/>
    <w:rsid w:val="2E7E6973"/>
    <w:rsid w:val="2E926827"/>
    <w:rsid w:val="2F527179"/>
    <w:rsid w:val="2F892CB3"/>
    <w:rsid w:val="2F970FE9"/>
    <w:rsid w:val="2FE73901"/>
    <w:rsid w:val="30191A45"/>
    <w:rsid w:val="303548B7"/>
    <w:rsid w:val="30823A8E"/>
    <w:rsid w:val="30907447"/>
    <w:rsid w:val="30C34F8E"/>
    <w:rsid w:val="313F7907"/>
    <w:rsid w:val="31432170"/>
    <w:rsid w:val="314D760D"/>
    <w:rsid w:val="31647924"/>
    <w:rsid w:val="32702225"/>
    <w:rsid w:val="32E93950"/>
    <w:rsid w:val="33224FF6"/>
    <w:rsid w:val="341D2DD9"/>
    <w:rsid w:val="345134E8"/>
    <w:rsid w:val="34533777"/>
    <w:rsid w:val="34F767AB"/>
    <w:rsid w:val="352944D8"/>
    <w:rsid w:val="35B20F7D"/>
    <w:rsid w:val="36E30A24"/>
    <w:rsid w:val="37AB38CA"/>
    <w:rsid w:val="37EA43F2"/>
    <w:rsid w:val="381C14F9"/>
    <w:rsid w:val="388A1D3C"/>
    <w:rsid w:val="39203E44"/>
    <w:rsid w:val="39423DBA"/>
    <w:rsid w:val="395B350D"/>
    <w:rsid w:val="3A976388"/>
    <w:rsid w:val="3B4474A0"/>
    <w:rsid w:val="3B7B7DB7"/>
    <w:rsid w:val="3D622C7D"/>
    <w:rsid w:val="3DA01067"/>
    <w:rsid w:val="3DBB5757"/>
    <w:rsid w:val="3EA53224"/>
    <w:rsid w:val="3F136CC1"/>
    <w:rsid w:val="41C538FC"/>
    <w:rsid w:val="41F7648B"/>
    <w:rsid w:val="426C3C56"/>
    <w:rsid w:val="42825877"/>
    <w:rsid w:val="42B04029"/>
    <w:rsid w:val="434B1787"/>
    <w:rsid w:val="4357078B"/>
    <w:rsid w:val="43DA45B4"/>
    <w:rsid w:val="43ED2073"/>
    <w:rsid w:val="444E0EB1"/>
    <w:rsid w:val="445006D7"/>
    <w:rsid w:val="445A5081"/>
    <w:rsid w:val="44F46870"/>
    <w:rsid w:val="451A3E3D"/>
    <w:rsid w:val="45560CA9"/>
    <w:rsid w:val="46692083"/>
    <w:rsid w:val="48052804"/>
    <w:rsid w:val="480B0368"/>
    <w:rsid w:val="481F3F04"/>
    <w:rsid w:val="48AC1863"/>
    <w:rsid w:val="495A5150"/>
    <w:rsid w:val="49CC00C7"/>
    <w:rsid w:val="4A0600C1"/>
    <w:rsid w:val="4A073D4C"/>
    <w:rsid w:val="4A8A55C1"/>
    <w:rsid w:val="4ABA1BCB"/>
    <w:rsid w:val="4B851ED4"/>
    <w:rsid w:val="4BB328F5"/>
    <w:rsid w:val="4C0A0767"/>
    <w:rsid w:val="4C231829"/>
    <w:rsid w:val="4D071AA0"/>
    <w:rsid w:val="4D265A75"/>
    <w:rsid w:val="4FBE7B2E"/>
    <w:rsid w:val="50C94F86"/>
    <w:rsid w:val="513F2E1E"/>
    <w:rsid w:val="52075B24"/>
    <w:rsid w:val="52A127BB"/>
    <w:rsid w:val="53971F1A"/>
    <w:rsid w:val="53CA4C80"/>
    <w:rsid w:val="53F96E9A"/>
    <w:rsid w:val="54280D1A"/>
    <w:rsid w:val="54991B10"/>
    <w:rsid w:val="55172F00"/>
    <w:rsid w:val="559902D6"/>
    <w:rsid w:val="56135E24"/>
    <w:rsid w:val="56D13F4F"/>
    <w:rsid w:val="570F30D6"/>
    <w:rsid w:val="57325016"/>
    <w:rsid w:val="57A20E26"/>
    <w:rsid w:val="57DB745C"/>
    <w:rsid w:val="57F4510A"/>
    <w:rsid w:val="5804605C"/>
    <w:rsid w:val="58701BB4"/>
    <w:rsid w:val="58782EFD"/>
    <w:rsid w:val="5933709C"/>
    <w:rsid w:val="5A3F2D52"/>
    <w:rsid w:val="5A420503"/>
    <w:rsid w:val="5A504131"/>
    <w:rsid w:val="5AB22E6A"/>
    <w:rsid w:val="5AE36442"/>
    <w:rsid w:val="5B0031FB"/>
    <w:rsid w:val="5B1B05DB"/>
    <w:rsid w:val="5B307D9F"/>
    <w:rsid w:val="5BCB5E61"/>
    <w:rsid w:val="5C6A37C7"/>
    <w:rsid w:val="5C9F6A5F"/>
    <w:rsid w:val="5CCA2B83"/>
    <w:rsid w:val="5E1F73E0"/>
    <w:rsid w:val="5F42523E"/>
    <w:rsid w:val="5F606790"/>
    <w:rsid w:val="5F675F93"/>
    <w:rsid w:val="5FE729F9"/>
    <w:rsid w:val="60321C50"/>
    <w:rsid w:val="608B742A"/>
    <w:rsid w:val="623936FD"/>
    <w:rsid w:val="62404870"/>
    <w:rsid w:val="62850AB0"/>
    <w:rsid w:val="62B506BF"/>
    <w:rsid w:val="63827325"/>
    <w:rsid w:val="646B32E3"/>
    <w:rsid w:val="64A64822"/>
    <w:rsid w:val="64EB7849"/>
    <w:rsid w:val="651A36AB"/>
    <w:rsid w:val="65875A32"/>
    <w:rsid w:val="65E8790A"/>
    <w:rsid w:val="661C7ED9"/>
    <w:rsid w:val="664034B4"/>
    <w:rsid w:val="66576847"/>
    <w:rsid w:val="66A870A3"/>
    <w:rsid w:val="677121BA"/>
    <w:rsid w:val="67DF3EA2"/>
    <w:rsid w:val="67E070B5"/>
    <w:rsid w:val="67ED05CE"/>
    <w:rsid w:val="681F410F"/>
    <w:rsid w:val="683C7CBB"/>
    <w:rsid w:val="68864169"/>
    <w:rsid w:val="68D67EF7"/>
    <w:rsid w:val="68F465CF"/>
    <w:rsid w:val="691E6A93"/>
    <w:rsid w:val="6938470E"/>
    <w:rsid w:val="699F29DF"/>
    <w:rsid w:val="69AB2860"/>
    <w:rsid w:val="69D10FA3"/>
    <w:rsid w:val="69D33B54"/>
    <w:rsid w:val="6A1F142A"/>
    <w:rsid w:val="6A543887"/>
    <w:rsid w:val="6A6C412A"/>
    <w:rsid w:val="6ACA583A"/>
    <w:rsid w:val="6B146FA6"/>
    <w:rsid w:val="6B1D1F48"/>
    <w:rsid w:val="6B884923"/>
    <w:rsid w:val="6BE0108D"/>
    <w:rsid w:val="6C5A0E3F"/>
    <w:rsid w:val="6C7011DE"/>
    <w:rsid w:val="6C765079"/>
    <w:rsid w:val="6D8E48E5"/>
    <w:rsid w:val="6E4A0A40"/>
    <w:rsid w:val="6EEB3FD1"/>
    <w:rsid w:val="6F2556FA"/>
    <w:rsid w:val="6F5D6B7D"/>
    <w:rsid w:val="70421FEC"/>
    <w:rsid w:val="70DF1BF4"/>
    <w:rsid w:val="71274CC1"/>
    <w:rsid w:val="71D92806"/>
    <w:rsid w:val="724F5744"/>
    <w:rsid w:val="727644F9"/>
    <w:rsid w:val="73100899"/>
    <w:rsid w:val="73AC3233"/>
    <w:rsid w:val="73AD3F4B"/>
    <w:rsid w:val="73FC441F"/>
    <w:rsid w:val="74060F2F"/>
    <w:rsid w:val="74AB66DC"/>
    <w:rsid w:val="74BD640F"/>
    <w:rsid w:val="74F55BA9"/>
    <w:rsid w:val="753326F4"/>
    <w:rsid w:val="755723C0"/>
    <w:rsid w:val="756E58AA"/>
    <w:rsid w:val="7653662C"/>
    <w:rsid w:val="7671125F"/>
    <w:rsid w:val="76CF27C0"/>
    <w:rsid w:val="78BE11AE"/>
    <w:rsid w:val="78CB3AB7"/>
    <w:rsid w:val="78D046E6"/>
    <w:rsid w:val="78FD3C47"/>
    <w:rsid w:val="78FF31BE"/>
    <w:rsid w:val="796D439A"/>
    <w:rsid w:val="79FA674E"/>
    <w:rsid w:val="7A09471A"/>
    <w:rsid w:val="7A3F003F"/>
    <w:rsid w:val="7A460C55"/>
    <w:rsid w:val="7A5468EA"/>
    <w:rsid w:val="7A597B8B"/>
    <w:rsid w:val="7B20395A"/>
    <w:rsid w:val="7B462A9E"/>
    <w:rsid w:val="7B7905EE"/>
    <w:rsid w:val="7B9D514D"/>
    <w:rsid w:val="7C067CC4"/>
    <w:rsid w:val="7C256E30"/>
    <w:rsid w:val="7C5D3DCB"/>
    <w:rsid w:val="7CA103C5"/>
    <w:rsid w:val="7D311748"/>
    <w:rsid w:val="7D6901DA"/>
    <w:rsid w:val="7E265078"/>
    <w:rsid w:val="7FC830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8">
    <w:name w:val="页脚 字符"/>
    <w:basedOn w:val="7"/>
    <w:link w:val="3"/>
    <w:qFormat/>
    <w:uiPriority w:val="99"/>
    <w:rPr>
      <w:rFonts w:ascii="Times New Roman" w:hAnsi="Times New Roman" w:eastAsia="宋体" w:cs="Times New Roman"/>
      <w:sz w:val="18"/>
      <w:szCs w:val="18"/>
    </w:rPr>
  </w:style>
  <w:style w:type="character" w:customStyle="1" w:styleId="9">
    <w:name w:val="批注框文本 字符"/>
    <w:basedOn w:val="7"/>
    <w:link w:val="2"/>
    <w:semiHidden/>
    <w:qFormat/>
    <w:uiPriority w:val="99"/>
    <w:rPr>
      <w:rFonts w:ascii="Times New Roman" w:hAnsi="Times New Roman" w:eastAsia="宋体" w:cs="Times New Roman"/>
      <w:sz w:val="18"/>
      <w:szCs w:val="18"/>
    </w:rPr>
  </w:style>
  <w:style w:type="character" w:customStyle="1" w:styleId="10">
    <w:name w:val="页眉 字符"/>
    <w:basedOn w:val="7"/>
    <w:link w:val="4"/>
    <w:qFormat/>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style>
  <w:style w:type="character" w:customStyle="1" w:styleId="12">
    <w:name w:val="NormalCharacter"/>
    <w:semiHidden/>
    <w:qFormat/>
    <w:uiPriority w:val="0"/>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4842</Words>
  <Characters>4969</Characters>
  <Lines>35</Lines>
  <Paragraphs>9</Paragraphs>
  <TotalTime>3</TotalTime>
  <ScaleCrop>false</ScaleCrop>
  <LinksUpToDate>false</LinksUpToDate>
  <CharactersWithSpaces>4969</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2022-11-28T04:19:00Z</dcterms:created>
  <dc:creator>曹秀娟</dc:creator>
  <cp:lastModifiedBy>那*@*轩</cp:lastModifiedBy>
  <dcterms:modified xsi:type="dcterms:W3CDTF">2026-04-08T01:53:20Z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E3C0B70BB365457C983CDDE3B0A07B28</vt:lpwstr>
  </property>
  <property fmtid="{D5CDD505-2E9C-101B-9397-08002B2CF9AE}" pid="4" name="KSOTemplateDocerSaveRecord">
    <vt:lpwstr>eyJoZGlkIjoiZDg0NzQyOGQ0ZWY3YTM5NTJiNjk5NmY2Y2NlODQwNDEiLCJ1c2VySWQiOiI1MTQ5MzI3NTYifQ==</vt:lpwstr>
  </property>
</Properties>
</file>