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73431">
      <w:pPr>
        <w:keepNext w:val="0"/>
        <w:keepLines w:val="0"/>
        <w:pageBreakBefore w:val="0"/>
        <w:widowControl w:val="0"/>
        <w:tabs>
          <w:tab w:val="center" w:pos="44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2" w:afterLines="100" w:line="300" w:lineRule="exact"/>
        <w:jc w:val="both"/>
        <w:textAlignment w:val="auto"/>
        <w:rPr>
          <w:rFonts w:hint="eastAsia" w:ascii="Times New Roman" w:hAnsi="Times New Roman" w:eastAsia="方正小标宋_GBK" w:cs="Times New Roman"/>
          <w:b/>
          <w:bCs/>
          <w:sz w:val="44"/>
          <w:szCs w:val="44"/>
          <w:lang w:eastAsia="zh-CN"/>
        </w:rPr>
      </w:pPr>
      <w:bookmarkStart w:id="0" w:name="_Toc103698718"/>
      <w:bookmarkEnd w:id="0"/>
    </w:p>
    <w:p w14:paraId="0F769C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Times New Roman" w:hAnsi="Times New Roman" w:eastAsia="方正小标宋_GBK" w:cs="Times New Roman"/>
          <w:b/>
          <w:bCs/>
          <w:sz w:val="44"/>
          <w:szCs w:val="44"/>
        </w:rPr>
      </w:pPr>
    </w:p>
    <w:p w14:paraId="025C6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Times New Roman" w:hAnsi="Times New Roman" w:eastAsia="方正小标宋_GBK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</w:rPr>
        <w:t>长江师范学院</w:t>
      </w:r>
    </w:p>
    <w:p w14:paraId="4D9AEA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Times New Roman" w:hAnsi="Times New Roman" w:eastAsia="方正仿宋_GBK" w:cs="Times New Roman"/>
          <w:color w:val="000000"/>
          <w:sz w:val="32"/>
          <w:szCs w:val="21"/>
        </w:rPr>
      </w:pP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</w:rPr>
        <w:t>关于开展重庆市第二批“人工智能+”重点建设课程推荐工作的通知</w:t>
      </w:r>
    </w:p>
    <w:p w14:paraId="657449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方正仿宋_GBK" w:cs="Times New Roman"/>
          <w:color w:val="000000"/>
          <w:sz w:val="32"/>
          <w:szCs w:val="21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各教学院：</w:t>
      </w:r>
    </w:p>
    <w:p w14:paraId="64BBE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</w:rPr>
      </w:pPr>
      <w:r>
        <w:rPr>
          <w:rFonts w:hint="eastAsia" w:ascii="方正仿宋_GBK" w:hAnsi="Times New Roman" w:eastAsia="方正仿宋_GBK"/>
          <w:sz w:val="32"/>
          <w:szCs w:val="32"/>
        </w:rPr>
        <w:t>为加快人工智能的创新应用，深入推动课堂教学改革创新，</w:t>
      </w:r>
      <w:r>
        <w:rPr>
          <w:rFonts w:hint="eastAsia" w:ascii="方正仿宋_GBK" w:hAnsi="Times New Roman" w:eastAsia="方正仿宋_GBK"/>
          <w:sz w:val="32"/>
          <w:szCs w:val="32"/>
          <w:lang w:val="en-US" w:eastAsia="zh-CN"/>
        </w:rPr>
        <w:t>构建人工智能课程体系，</w:t>
      </w:r>
      <w:r>
        <w:rPr>
          <w:rFonts w:hint="eastAsia" w:ascii="方正仿宋_GBK" w:hAnsi="Times New Roman" w:eastAsia="方正仿宋_GBK"/>
          <w:sz w:val="32"/>
          <w:szCs w:val="32"/>
          <w:lang w:eastAsia="zh-CN"/>
        </w:rPr>
        <w:t>根据《</w:t>
      </w:r>
      <w:r>
        <w:rPr>
          <w:rFonts w:hint="eastAsia" w:ascii="方正仿宋_GBK" w:hAnsi="Times New Roman" w:eastAsia="方正仿宋_GBK"/>
          <w:sz w:val="32"/>
          <w:szCs w:val="32"/>
        </w:rPr>
        <w:t>重庆市教育委员会关于开展第二批市级“人工智能+”重点建设课程立项申报工作的通知</w:t>
      </w:r>
      <w:r>
        <w:rPr>
          <w:rFonts w:hint="eastAsia" w:ascii="方正仿宋_GBK" w:hAnsi="Times New Roman" w:eastAsia="方正仿宋_GBK"/>
          <w:sz w:val="32"/>
          <w:szCs w:val="32"/>
          <w:lang w:eastAsia="zh-CN"/>
        </w:rPr>
        <w:t>》文件精神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</w:rPr>
        <w:t>，决定组织开展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  <w:lang w:eastAsia="zh-CN"/>
        </w:rPr>
        <w:t>重庆市第二批“人工智能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  <w:lang w:val="en-US" w:eastAsia="zh-CN"/>
        </w:rPr>
        <w:t>+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  <w:lang w:eastAsia="zh-CN"/>
        </w:rPr>
        <w:t>”重点建设课程项目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  <w:lang w:val="en-US" w:eastAsia="zh-CN"/>
        </w:rPr>
        <w:t>推荐申报工作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</w:rPr>
        <w:t>。有关事宜通知如下。</w:t>
      </w:r>
    </w:p>
    <w:p w14:paraId="508B8E0F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Chars="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申报类型</w:t>
      </w:r>
    </w:p>
    <w:p w14:paraId="32BF93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（一）人工智能素养课程</w:t>
      </w:r>
    </w:p>
    <w:p w14:paraId="73B38A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人工智能素养课是面向非专业或专业入门学生，培养人工智能应用能力与伦理意识的课程。此类课程应注重提升学生在智能时代的人机协作能力、批判性思维与伦理判断力，帮助他们掌握人工智能工具的安全、规范使用，理解人工智能对社会、法律与道德的深远影响，为未来的学习和职业生涯奠定坚实的素养基础。课程内容应涵盖人工智能的基本原理、工具应用、伦理辨析、风险防范与跨学科实践等。鼓励各校开发配套的人工智能素养课程教材，强化项目式学习与案例研讨，使学生能够负责任地使用人工智能工具。此类课程以线上学习、线下实践相结合的方式为主，课程建设完成后应在重庆高等教育智慧教育平台“人工智能+高等教育”专区开放共享。</w:t>
      </w:r>
    </w:p>
    <w:p w14:paraId="09D92C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（二）人工智能赋能专业课程</w:t>
      </w:r>
    </w:p>
    <w:p w14:paraId="7D43E4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积极推进AI赋能高校课程改革，培育建设一批基于本校课程建设基础和学科专业优势的AI+专业基础课、专业核心课和面向AI各垂直领域应用课程，打造AI+课程体系，创新引领课程教学改革。各校应注重加强AI+基础理论课程、增设前沿技术课程、设置跨学科课程，并强化实践教学和推动产教融合‌。鼓励利用人工智能创新教学形式，将人工智能技术与各学科专业深度融合，充分体现学科特色、专业特点。此类课程以数字化课程为主，借助各类人工智能教学环境、工具或智慧化课程平台持续开展课程建设与应用。</w:t>
      </w:r>
    </w:p>
    <w:p w14:paraId="3A940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  <w:t>二、申报要求和条件</w:t>
      </w:r>
    </w:p>
    <w:p w14:paraId="211B67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申报课程须至少开设1个教学周期，且已纳入本科专业人才培养方案，并同时满足以下基本条件：</w:t>
      </w:r>
    </w:p>
    <w:p w14:paraId="430273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（一）教学理念先进。</w:t>
      </w:r>
      <w:r>
        <w:rPr>
          <w:rFonts w:hint="eastAsia" w:ascii="Times New Roman" w:hAnsi="Times New Roman" w:eastAsia="方正仿宋_GBK"/>
          <w:sz w:val="32"/>
          <w:szCs w:val="32"/>
        </w:rPr>
        <w:t>坚持立德树人，体现以学生发展为中心，致力于培养学生的思辨力、学习力、创造力，注重学生德智体美劳全面发展。</w:t>
      </w:r>
    </w:p>
    <w:p w14:paraId="35D45A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（二）人工智能赋能课程教学各要素。</w:t>
      </w:r>
      <w:r>
        <w:rPr>
          <w:rFonts w:hint="eastAsia" w:ascii="Times New Roman" w:hAnsi="Times New Roman" w:eastAsia="方正仿宋_GBK"/>
          <w:sz w:val="32"/>
          <w:szCs w:val="32"/>
        </w:rPr>
        <w:t>能够利用自主知识产权的人工智能技术支撑课程教学创新，组合运用多种技术改革教学设计与教学内容、教学场景与教学资源、教学模式与学习方式、学情分析与教学评价等，全方位提升课程教学质量，为学生提供更加灵活、个性化的学习体验，尤其鼓励关注如何利用人工智能培养学生高阶思维能力。主要包括（但不限于）以下几个方面：</w:t>
      </w:r>
    </w:p>
    <w:p w14:paraId="5086F9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sz w:val="32"/>
          <w:szCs w:val="32"/>
          <w:lang w:bidi="ar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 w:bidi="ar"/>
        </w:rPr>
        <w:t>1.</w:t>
      </w:r>
      <w:r>
        <w:rPr>
          <w:rFonts w:ascii="Times New Roman" w:hAnsi="Times New Roman" w:eastAsia="方正仿宋_GBK"/>
          <w:b/>
          <w:bCs/>
          <w:sz w:val="32"/>
          <w:szCs w:val="32"/>
          <w:lang w:bidi="ar"/>
        </w:rPr>
        <w:t>个性化</w:t>
      </w:r>
      <w:r>
        <w:rPr>
          <w:rFonts w:hint="eastAsia" w:ascii="Times New Roman" w:hAnsi="Times New Roman" w:eastAsia="方正仿宋_GBK"/>
          <w:b/>
          <w:bCs/>
          <w:sz w:val="32"/>
          <w:szCs w:val="32"/>
          <w:lang w:bidi="ar"/>
        </w:rPr>
        <w:t>学习</w:t>
      </w:r>
      <w:r>
        <w:rPr>
          <w:rFonts w:ascii="Times New Roman" w:hAnsi="Times New Roman" w:eastAsia="方正仿宋_GBK"/>
          <w:b/>
          <w:bCs/>
          <w:sz w:val="32"/>
          <w:szCs w:val="32"/>
          <w:lang w:bidi="ar"/>
        </w:rPr>
        <w:t>。</w:t>
      </w:r>
      <w:r>
        <w:rPr>
          <w:rFonts w:ascii="Times New Roman" w:hAnsi="Times New Roman" w:eastAsia="方正仿宋_GBK"/>
          <w:sz w:val="32"/>
          <w:szCs w:val="32"/>
          <w:lang w:bidi="ar"/>
        </w:rPr>
        <w:t>借助人工智能技术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实施大规模因材施教</w:t>
      </w:r>
      <w:r>
        <w:rPr>
          <w:rFonts w:ascii="Times New Roman" w:hAnsi="Times New Roman" w:eastAsia="方正仿宋_GBK"/>
          <w:sz w:val="32"/>
          <w:szCs w:val="32"/>
          <w:lang w:bidi="ar"/>
        </w:rPr>
        <w:t>，根据课程目标和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不同</w:t>
      </w:r>
      <w:r>
        <w:rPr>
          <w:rFonts w:ascii="Times New Roman" w:hAnsi="Times New Roman" w:eastAsia="方正仿宋_GBK"/>
          <w:sz w:val="32"/>
          <w:szCs w:val="32"/>
          <w:lang w:bidi="ar"/>
        </w:rPr>
        <w:t>学生的能力水平、兴趣及学习表现，设计个性化的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学习策略</w:t>
      </w:r>
      <w:r>
        <w:rPr>
          <w:rFonts w:ascii="Times New Roman" w:hAnsi="Times New Roman" w:eastAsia="方正仿宋_GBK"/>
          <w:sz w:val="32"/>
          <w:szCs w:val="32"/>
          <w:lang w:bidi="ar"/>
        </w:rPr>
        <w:t>与教案、自适应的学习路径，提供更符合学生个体差异的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学习</w:t>
      </w:r>
      <w:r>
        <w:rPr>
          <w:rFonts w:ascii="Times New Roman" w:hAnsi="Times New Roman" w:eastAsia="方正仿宋_GBK"/>
          <w:sz w:val="32"/>
          <w:szCs w:val="32"/>
          <w:lang w:bidi="ar"/>
        </w:rPr>
        <w:t>内容，满足学生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差异化</w:t>
      </w:r>
      <w:r>
        <w:rPr>
          <w:rFonts w:ascii="Times New Roman" w:hAnsi="Times New Roman" w:eastAsia="方正仿宋_GBK"/>
          <w:sz w:val="32"/>
          <w:szCs w:val="32"/>
          <w:lang w:bidi="ar"/>
        </w:rPr>
        <w:t>的学习需求。</w:t>
      </w:r>
    </w:p>
    <w:p w14:paraId="57AF34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b/>
          <w:bCs/>
          <w:sz w:val="32"/>
          <w:szCs w:val="32"/>
          <w:lang w:val="en-US" w:eastAsia="zh-CN" w:bidi="ar"/>
        </w:rPr>
        <w:t>2.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智能辅助教学工具。</w:t>
      </w:r>
      <w:r>
        <w:rPr>
          <w:rFonts w:hint="eastAsia" w:ascii="Times New Roman" w:hAnsi="Times New Roman" w:eastAsia="方正仿宋_GBK"/>
          <w:sz w:val="32"/>
          <w:szCs w:val="32"/>
        </w:rPr>
        <w:t>引入智能助教、“数字人”、虚拟导师等工具，为学生提供一对一辅导、针对性的学习建议和难点解析，根据学生的学习进度和兴趣，智能推荐相应的教学资源，培养解决复杂问题的能力。</w:t>
      </w:r>
    </w:p>
    <w:p w14:paraId="2A7887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bidi="ar"/>
        </w:rPr>
        <w:t>3</w:t>
      </w: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 w:bidi="ar"/>
        </w:rPr>
        <w:t>.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多元化教学资源。</w:t>
      </w:r>
      <w:r>
        <w:rPr>
          <w:rFonts w:hint="eastAsia" w:ascii="Times New Roman" w:hAnsi="Times New Roman" w:eastAsia="方正仿宋_GBK"/>
          <w:sz w:val="32"/>
          <w:szCs w:val="32"/>
        </w:rPr>
        <w:t>整合包括微课、在线开放课程、虚拟仿真实验、文献资料等富媒体教学资源，丰富教学内容，提高学生学习体验。</w:t>
      </w:r>
    </w:p>
    <w:p w14:paraId="3AE706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2312" w:cs="方正仿宋_GB2312"/>
          <w:sz w:val="32"/>
          <w:szCs w:val="32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bidi="ar"/>
        </w:rPr>
        <w:t>4</w:t>
      </w: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 w:bidi="ar"/>
        </w:rPr>
        <w:t>.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虚拟教室和虚拟实验室。</w:t>
      </w:r>
      <w:r>
        <w:rPr>
          <w:rFonts w:hint="eastAsia" w:ascii="Times New Roman" w:hAnsi="Times New Roman" w:eastAsia="方正仿宋_GBK"/>
          <w:sz w:val="32"/>
          <w:szCs w:val="32"/>
        </w:rPr>
        <w:t>为校内外师生提供时空灵活的虚拟授课空间和实验空间，通过人工智能技术的引入，配合多样化的虚拟教学道具、专业化的场景模拟能力、智能化的教学反馈，加深虚拟课堂的沉浸感和体验感。</w:t>
      </w:r>
    </w:p>
    <w:p w14:paraId="646B7D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2312" w:cs="方正仿宋_GB2312"/>
          <w:sz w:val="32"/>
          <w:szCs w:val="32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bidi="ar"/>
        </w:rPr>
        <w:t>5</w:t>
      </w: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 w:bidi="ar"/>
        </w:rPr>
        <w:t>.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虚拟学习社区与在线协同学习。</w:t>
      </w:r>
      <w:r>
        <w:rPr>
          <w:rFonts w:hint="eastAsia" w:ascii="Times New Roman" w:hAnsi="Times New Roman" w:eastAsia="方正仿宋_GBK"/>
          <w:sz w:val="32"/>
          <w:szCs w:val="32"/>
        </w:rPr>
        <w:t>整合人工智能、虚拟现实（VR）等技术建立虚拟学习社区，提供共享资源、互动讨论、协作项目等，创造更开放、强互动的学习环境，促进学生之间的合作与交流，培养团队协作能力。</w:t>
      </w:r>
    </w:p>
    <w:p w14:paraId="4A05FA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bidi="ar"/>
        </w:rPr>
        <w:t>6</w:t>
      </w: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 w:bidi="ar"/>
        </w:rPr>
        <w:t>.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实时学情监测和分析。</w:t>
      </w:r>
      <w:r>
        <w:rPr>
          <w:rFonts w:hint="eastAsia" w:ascii="Times New Roman" w:hAnsi="Times New Roman" w:eastAsia="方正仿宋_GBK"/>
          <w:sz w:val="32"/>
          <w:szCs w:val="32"/>
        </w:rPr>
        <w:t>利用大数据、大模型等技术对学生学习行为和表现进行实时监测和分析，提供及时的学情反馈，帮助教师更好地了解学生需求、优化教学方法、调整教学策略，实现课堂的智慧管理和智能决策。</w:t>
      </w:r>
    </w:p>
    <w:p w14:paraId="1672CA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（三）课程教学团队建设有力。</w:t>
      </w:r>
      <w:r>
        <w:rPr>
          <w:rFonts w:hint="eastAsia" w:ascii="Times New Roman" w:hAnsi="Times New Roman" w:eastAsia="方正仿宋_GBK"/>
          <w:sz w:val="32"/>
          <w:szCs w:val="32"/>
        </w:rPr>
        <w:t>课程团队教学改革意识强烈、理念先进，人员结构及任务分工合理，团队成员须有人工智能领域理论研究或实践应用教师。鼓励与人工智能相关企业开展合作，共同组建教学团队开展课程建设。主讲教师具备良好的师德师风，教学能力强，具有丰富的教学经验、较高的学术造诣，积极投身教育教学改革，能够运用人工智能新技术提高教学效率、提升教学质量，有较好的前期建设基础。</w:t>
      </w:r>
    </w:p>
    <w:p w14:paraId="4996EF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  <w:t>三、工作安排</w:t>
      </w:r>
    </w:p>
    <w:p w14:paraId="0A5F51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color w:val="auto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color w:val="auto"/>
          <w:sz w:val="32"/>
          <w:szCs w:val="32"/>
          <w:lang w:val="en-US" w:eastAsia="zh-CN"/>
        </w:rPr>
        <w:t>（一）教师申报。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教师结合课程建设基础和实际，根据课程建设内容及要求，填写《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重庆市第二批市级“人工智能+”重点建设课程立项申报书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》（附件1），报所属教学院。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学校不受理教师个人申报。</w:t>
      </w:r>
    </w:p>
    <w:p w14:paraId="607405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color w:val="auto"/>
          <w:sz w:val="32"/>
          <w:szCs w:val="32"/>
          <w:lang w:val="en-US" w:eastAsia="zh-CN"/>
        </w:rPr>
        <w:t>（二）院部推荐。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各教学院根据课程建设规划、申报课程基础论证，择优推荐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门课程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，有国家级一流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  <w:t>本科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课程的学院增加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  <w:t>1门课程推荐指标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。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  <w:t>每个学院至少推荐1门人工智能赋能专业课程，大数据与智能工程学院、机器人工程学院、经济与管理学院、教师教育学院、</w:t>
      </w:r>
      <w:bookmarkStart w:id="1" w:name="_GoBack"/>
      <w:bookmarkEnd w:id="1"/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  <w:t>绿色智慧环境学院、土木建筑工程学院至少推荐1门人工智能素养课程。</w:t>
      </w:r>
    </w:p>
    <w:p w14:paraId="47821A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color w:val="auto"/>
          <w:kern w:val="0"/>
          <w:sz w:val="32"/>
          <w:szCs w:val="32"/>
          <w:highlight w:val="yellow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（三）材料提交。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  <w:t>各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</w:rPr>
        <w:t>教学院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填写《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重庆市第二批市级“人工智能+”重点建设课程推荐汇总表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》（附件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），连同推荐课程申报书于</w:t>
      </w:r>
      <w:r>
        <w:rPr>
          <w:rFonts w:hint="eastAsia" w:ascii="Times New Roman" w:hAnsi="Times New Roman" w:eastAsia="方正仿宋_GBK"/>
          <w:b w:val="0"/>
          <w:bCs w:val="0"/>
          <w:color w:val="auto"/>
          <w:spacing w:val="8"/>
          <w:sz w:val="32"/>
          <w:szCs w:val="32"/>
          <w:shd w:val="clear" w:color="auto" w:fill="FFFFFF"/>
          <w:lang w:val="en-US" w:eastAsia="zh-CN"/>
        </w:rPr>
        <w:t>2026</w:t>
      </w:r>
      <w:r>
        <w:rPr>
          <w:rFonts w:hint="eastAsia" w:ascii="Times New Roman" w:hAnsi="Times New Roman" w:eastAsia="方正仿宋_GBK"/>
          <w:b w:val="0"/>
          <w:bCs w:val="0"/>
          <w:color w:val="auto"/>
          <w:spacing w:val="8"/>
          <w:sz w:val="32"/>
          <w:szCs w:val="32"/>
          <w:shd w:val="clear" w:color="auto" w:fill="FFFFFF"/>
        </w:rPr>
        <w:t>年</w:t>
      </w:r>
      <w:r>
        <w:rPr>
          <w:rFonts w:hint="eastAsia" w:ascii="Times New Roman" w:hAnsi="Times New Roman" w:eastAsia="方正仿宋_GBK"/>
          <w:b w:val="0"/>
          <w:bCs w:val="0"/>
          <w:color w:val="auto"/>
          <w:spacing w:val="8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Times New Roman" w:hAnsi="Times New Roman" w:eastAsia="方正仿宋_GBK"/>
          <w:b w:val="0"/>
          <w:bCs w:val="0"/>
          <w:color w:val="auto"/>
          <w:spacing w:val="8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方正仿宋_GBK"/>
          <w:b w:val="0"/>
          <w:bCs w:val="0"/>
          <w:color w:val="auto"/>
          <w:spacing w:val="8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Times New Roman" w:hAnsi="Times New Roman" w:eastAsia="方正仿宋_GBK"/>
          <w:b w:val="0"/>
          <w:bCs w:val="0"/>
          <w:color w:val="auto"/>
          <w:spacing w:val="8"/>
          <w:sz w:val="32"/>
          <w:szCs w:val="32"/>
          <w:shd w:val="clear" w:color="auto" w:fill="FFFFFF"/>
        </w:rPr>
        <w:t>日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前，电子版发送至工作邮箱，纸质版一式一份签字盖章后报教务处教研教改科。</w:t>
      </w:r>
    </w:p>
    <w:p w14:paraId="708CB7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（四）评审推荐。</w:t>
      </w:r>
      <w:r>
        <w:rPr>
          <w:rFonts w:hint="eastAsia" w:ascii="Times New Roman" w:hAnsi="Times New Roman" w:eastAsia="方正仿宋_GBK"/>
          <w:color w:val="000000"/>
          <w:sz w:val="32"/>
          <w:szCs w:val="32"/>
          <w:shd w:val="clear" w:color="auto" w:fill="FFFFFF"/>
        </w:rPr>
        <w:t>采取统一申报、集中评审、择优推荐的方式进</w:t>
      </w:r>
      <w:r>
        <w:rPr>
          <w:rFonts w:hint="eastAsia" w:ascii="Times New Roman" w:hAnsi="Times New Roman" w:eastAsia="方正仿宋_GBK"/>
          <w:color w:val="auto"/>
          <w:sz w:val="32"/>
          <w:szCs w:val="32"/>
          <w:shd w:val="clear" w:color="auto" w:fill="FFFFFF"/>
        </w:rPr>
        <w:t>行。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教务处组织专家组对各教学院推荐</w:t>
      </w:r>
      <w:r>
        <w:rPr>
          <w:rFonts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的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申报立项课程进行评审，</w:t>
      </w:r>
      <w:r>
        <w:rPr>
          <w:rFonts w:hint="eastAsia" w:ascii="Times New Roman" w:hAnsi="Times New Roman" w:eastAsia="方正仿宋_GBK"/>
          <w:color w:val="auto"/>
          <w:sz w:val="32"/>
          <w:szCs w:val="32"/>
          <w:lang w:eastAsia="zh-CN"/>
        </w:rPr>
        <w:t>择优公示</w:t>
      </w:r>
      <w:r>
        <w:rPr>
          <w:rFonts w:hint="eastAsia" w:ascii="Times New Roman" w:hAnsi="Times New Roman" w:eastAsia="方正仿宋_GBK"/>
          <w:color w:val="auto"/>
          <w:sz w:val="32"/>
          <w:szCs w:val="32"/>
        </w:rPr>
        <w:t>推荐</w:t>
      </w:r>
      <w:r>
        <w:rPr>
          <w:rFonts w:ascii="Times New Roman" w:hAnsi="Times New Roman" w:eastAsia="方正仿宋_GBK"/>
          <w:color w:val="auto"/>
          <w:sz w:val="32"/>
          <w:szCs w:val="32"/>
        </w:rPr>
        <w:t>重庆市</w:t>
      </w:r>
      <w:r>
        <w:rPr>
          <w:rFonts w:hint="eastAsia" w:ascii="Times New Roman" w:hAnsi="Times New Roman" w:eastAsia="方正仿宋_GBK"/>
          <w:color w:val="auto"/>
          <w:sz w:val="32"/>
          <w:szCs w:val="32"/>
          <w:lang w:eastAsia="zh-CN"/>
        </w:rPr>
        <w:t>第二批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“人工智能+”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重点建设课程</w:t>
      </w:r>
      <w:r>
        <w:rPr>
          <w:rFonts w:ascii="Times New Roman" w:hAnsi="Times New Roman" w:eastAsia="方正仿宋_GBK"/>
          <w:color w:val="auto"/>
          <w:sz w:val="32"/>
          <w:szCs w:val="32"/>
        </w:rPr>
        <w:t>名单</w:t>
      </w:r>
      <w:r>
        <w:rPr>
          <w:rFonts w:hint="eastAsia" w:ascii="Times New Roman" w:hAnsi="Times New Roman" w:eastAsia="方正仿宋_GBK"/>
          <w:color w:val="auto"/>
          <w:sz w:val="32"/>
          <w:szCs w:val="32"/>
          <w:lang w:eastAsia="zh-CN"/>
        </w:rPr>
        <w:t>。</w:t>
      </w:r>
    </w:p>
    <w:p w14:paraId="050EA1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联系人：王磊、秦明一</w:t>
      </w:r>
      <w:r>
        <w:rPr>
          <w:rFonts w:ascii="Times New Roman" w:hAnsi="Times New Roman" w:eastAsia="方正仿宋_GBK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联系电话：72790060，工作邮箱：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jgb05@163.com，办公室：致远楼218室</w:t>
      </w:r>
      <w:r>
        <w:rPr>
          <w:rFonts w:ascii="Times New Roman" w:hAnsi="Times New Roman" w:eastAsia="方正仿宋_GBK"/>
          <w:color w:val="000000"/>
          <w:sz w:val="32"/>
          <w:szCs w:val="32"/>
        </w:rPr>
        <w:t>。</w:t>
      </w:r>
    </w:p>
    <w:p w14:paraId="7A11B3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</w:p>
    <w:p w14:paraId="00029A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8" w:leftChars="304" w:hanging="1280" w:hangingChars="400"/>
        <w:textAlignment w:val="auto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1.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重庆市第二批市级“人工智能+”重点建设课程立项申报书</w:t>
      </w:r>
    </w:p>
    <w:p w14:paraId="727679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6" w:leftChars="760" w:hanging="320" w:hangingChars="100"/>
        <w:textAlignment w:val="auto"/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2.</w:t>
      </w: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eastAsia="zh-CN"/>
        </w:rPr>
        <w:t>重庆市第二批市级“人工智能+”重点建设课程推荐汇总表</w:t>
      </w:r>
    </w:p>
    <w:p w14:paraId="385A63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</w:p>
    <w:p w14:paraId="05C84D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537255F2-11E3-4BE2-835F-E90AF7523C63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F0F1B3E-34E5-4D88-A9E4-ACFA34D2E3C3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6B72820-08EA-4B01-952D-6D8A12A6F38B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79FBA37-0204-4F40-A6E5-91EC4847C56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E626C555-24CF-41C0-ABBD-47393B12414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84595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7CF3C9">
                          <w:pPr>
                            <w:pStyle w:val="7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7CF3C9">
                    <w:pPr>
                      <w:pStyle w:val="7"/>
                      <w:rPr>
                        <w:sz w:val="21"/>
                        <w:szCs w:val="21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E33F89"/>
    <w:multiLevelType w:val="multilevel"/>
    <w:tmpl w:val="16E33F89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3" w:hanging="440"/>
      </w:pPr>
    </w:lvl>
    <w:lvl w:ilvl="2" w:tentative="0">
      <w:start w:val="1"/>
      <w:numFmt w:val="lowerRoman"/>
      <w:lvlText w:val="%3."/>
      <w:lvlJc w:val="right"/>
      <w:pPr>
        <w:ind w:left="1963" w:hanging="440"/>
      </w:pPr>
    </w:lvl>
    <w:lvl w:ilvl="3" w:tentative="0">
      <w:start w:val="1"/>
      <w:numFmt w:val="decimal"/>
      <w:lvlText w:val="%4."/>
      <w:lvlJc w:val="left"/>
      <w:pPr>
        <w:ind w:left="2403" w:hanging="440"/>
      </w:pPr>
    </w:lvl>
    <w:lvl w:ilvl="4" w:tentative="0">
      <w:start w:val="1"/>
      <w:numFmt w:val="lowerLetter"/>
      <w:lvlText w:val="%5)"/>
      <w:lvlJc w:val="left"/>
      <w:pPr>
        <w:ind w:left="2843" w:hanging="440"/>
      </w:pPr>
    </w:lvl>
    <w:lvl w:ilvl="5" w:tentative="0">
      <w:start w:val="1"/>
      <w:numFmt w:val="lowerRoman"/>
      <w:lvlText w:val="%6."/>
      <w:lvlJc w:val="right"/>
      <w:pPr>
        <w:ind w:left="3283" w:hanging="440"/>
      </w:pPr>
    </w:lvl>
    <w:lvl w:ilvl="6" w:tentative="0">
      <w:start w:val="1"/>
      <w:numFmt w:val="decimal"/>
      <w:lvlText w:val="%7."/>
      <w:lvlJc w:val="left"/>
      <w:pPr>
        <w:ind w:left="3723" w:hanging="440"/>
      </w:pPr>
    </w:lvl>
    <w:lvl w:ilvl="7" w:tentative="0">
      <w:start w:val="1"/>
      <w:numFmt w:val="lowerLetter"/>
      <w:lvlText w:val="%8)"/>
      <w:lvlJc w:val="left"/>
      <w:pPr>
        <w:ind w:left="4163" w:hanging="440"/>
      </w:pPr>
    </w:lvl>
    <w:lvl w:ilvl="8" w:tentative="0">
      <w:start w:val="1"/>
      <w:numFmt w:val="lowerRoman"/>
      <w:lvlText w:val="%9."/>
      <w:lvlJc w:val="right"/>
      <w:pPr>
        <w:ind w:left="4603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5NmYwMGM3NmEyYjc0Mzg3ZjA1MjI3OWJkODE2NzcifQ=="/>
  </w:docVars>
  <w:rsids>
    <w:rsidRoot w:val="19D92841"/>
    <w:rsid w:val="000C024B"/>
    <w:rsid w:val="00382DD6"/>
    <w:rsid w:val="00720B0F"/>
    <w:rsid w:val="00795EFE"/>
    <w:rsid w:val="007E303A"/>
    <w:rsid w:val="00886C4B"/>
    <w:rsid w:val="00A3097D"/>
    <w:rsid w:val="00A53888"/>
    <w:rsid w:val="00C75C01"/>
    <w:rsid w:val="00CF5500"/>
    <w:rsid w:val="00D021AF"/>
    <w:rsid w:val="00E540FA"/>
    <w:rsid w:val="00E92C3C"/>
    <w:rsid w:val="0116312F"/>
    <w:rsid w:val="05167C20"/>
    <w:rsid w:val="0645634A"/>
    <w:rsid w:val="07113D87"/>
    <w:rsid w:val="083F2EB0"/>
    <w:rsid w:val="08795291"/>
    <w:rsid w:val="08BE1350"/>
    <w:rsid w:val="08CE787B"/>
    <w:rsid w:val="09644C54"/>
    <w:rsid w:val="0B253CB7"/>
    <w:rsid w:val="0B5036E2"/>
    <w:rsid w:val="0BFE313E"/>
    <w:rsid w:val="0CB90E13"/>
    <w:rsid w:val="0D0F4ED6"/>
    <w:rsid w:val="0E260951"/>
    <w:rsid w:val="0F583AB8"/>
    <w:rsid w:val="0F9D2C6D"/>
    <w:rsid w:val="0FBD141A"/>
    <w:rsid w:val="10563FFE"/>
    <w:rsid w:val="106D0892"/>
    <w:rsid w:val="117C0E8B"/>
    <w:rsid w:val="11B61715"/>
    <w:rsid w:val="12A97D33"/>
    <w:rsid w:val="12BA1EF6"/>
    <w:rsid w:val="13493006"/>
    <w:rsid w:val="13B90594"/>
    <w:rsid w:val="14123C2A"/>
    <w:rsid w:val="158E48E1"/>
    <w:rsid w:val="173F63E1"/>
    <w:rsid w:val="18C12494"/>
    <w:rsid w:val="18C9062F"/>
    <w:rsid w:val="18F63A84"/>
    <w:rsid w:val="191775ED"/>
    <w:rsid w:val="19D92841"/>
    <w:rsid w:val="1A206975"/>
    <w:rsid w:val="1B784FE8"/>
    <w:rsid w:val="1BE07DDA"/>
    <w:rsid w:val="1C74693C"/>
    <w:rsid w:val="1D833C3B"/>
    <w:rsid w:val="1E266884"/>
    <w:rsid w:val="1F1D661A"/>
    <w:rsid w:val="1F8F12E0"/>
    <w:rsid w:val="20073974"/>
    <w:rsid w:val="201826DC"/>
    <w:rsid w:val="213351E0"/>
    <w:rsid w:val="21802F62"/>
    <w:rsid w:val="27B804E5"/>
    <w:rsid w:val="28796405"/>
    <w:rsid w:val="2934028D"/>
    <w:rsid w:val="29A45656"/>
    <w:rsid w:val="29B64C00"/>
    <w:rsid w:val="2A4B4255"/>
    <w:rsid w:val="2A557CE0"/>
    <w:rsid w:val="2AD30362"/>
    <w:rsid w:val="2B667F60"/>
    <w:rsid w:val="2BC30439"/>
    <w:rsid w:val="2C153E60"/>
    <w:rsid w:val="2E9949CD"/>
    <w:rsid w:val="2EA63495"/>
    <w:rsid w:val="2FA1668B"/>
    <w:rsid w:val="322B4AD8"/>
    <w:rsid w:val="32352DE8"/>
    <w:rsid w:val="32CA473F"/>
    <w:rsid w:val="330469DC"/>
    <w:rsid w:val="33784CD4"/>
    <w:rsid w:val="340A2A23"/>
    <w:rsid w:val="34B25BD0"/>
    <w:rsid w:val="34C93A39"/>
    <w:rsid w:val="35074561"/>
    <w:rsid w:val="351006CF"/>
    <w:rsid w:val="35103416"/>
    <w:rsid w:val="35E67775"/>
    <w:rsid w:val="37311C27"/>
    <w:rsid w:val="37C706B5"/>
    <w:rsid w:val="38877E93"/>
    <w:rsid w:val="39243934"/>
    <w:rsid w:val="39AD380A"/>
    <w:rsid w:val="3B3360B0"/>
    <w:rsid w:val="3BA945C4"/>
    <w:rsid w:val="3C1F4887"/>
    <w:rsid w:val="40FE0F0E"/>
    <w:rsid w:val="42026F12"/>
    <w:rsid w:val="46AA319D"/>
    <w:rsid w:val="474A6C5C"/>
    <w:rsid w:val="476D46F8"/>
    <w:rsid w:val="47F170D7"/>
    <w:rsid w:val="48B553DA"/>
    <w:rsid w:val="48CB3DCC"/>
    <w:rsid w:val="48F36E7F"/>
    <w:rsid w:val="49114E4F"/>
    <w:rsid w:val="49282B26"/>
    <w:rsid w:val="4AE747C1"/>
    <w:rsid w:val="4BAB3E5A"/>
    <w:rsid w:val="4CC254E6"/>
    <w:rsid w:val="4DF571F5"/>
    <w:rsid w:val="4E0D09E3"/>
    <w:rsid w:val="4E233B70"/>
    <w:rsid w:val="4ED4505D"/>
    <w:rsid w:val="506A211C"/>
    <w:rsid w:val="50CA2BBB"/>
    <w:rsid w:val="52383B54"/>
    <w:rsid w:val="52497B10"/>
    <w:rsid w:val="52865859"/>
    <w:rsid w:val="54303F81"/>
    <w:rsid w:val="54881E83"/>
    <w:rsid w:val="54AE00FE"/>
    <w:rsid w:val="56F82A2E"/>
    <w:rsid w:val="58676F42"/>
    <w:rsid w:val="5A20590A"/>
    <w:rsid w:val="5A292701"/>
    <w:rsid w:val="5A831ACB"/>
    <w:rsid w:val="5BC00E43"/>
    <w:rsid w:val="5BCA156F"/>
    <w:rsid w:val="5C5A52E1"/>
    <w:rsid w:val="5D1C02FB"/>
    <w:rsid w:val="5D6D0B56"/>
    <w:rsid w:val="5E196F30"/>
    <w:rsid w:val="5F9F1531"/>
    <w:rsid w:val="607E751E"/>
    <w:rsid w:val="61EB0BE3"/>
    <w:rsid w:val="62614A02"/>
    <w:rsid w:val="655A1438"/>
    <w:rsid w:val="65DC36CC"/>
    <w:rsid w:val="68D66878"/>
    <w:rsid w:val="6A99271E"/>
    <w:rsid w:val="6B4C44A1"/>
    <w:rsid w:val="6BA8467E"/>
    <w:rsid w:val="6C3A0F5E"/>
    <w:rsid w:val="6C973B29"/>
    <w:rsid w:val="6CD24E7A"/>
    <w:rsid w:val="6F367D65"/>
    <w:rsid w:val="6FB1072E"/>
    <w:rsid w:val="6FCC3D7F"/>
    <w:rsid w:val="70521576"/>
    <w:rsid w:val="70C46F71"/>
    <w:rsid w:val="70E92F39"/>
    <w:rsid w:val="713567C2"/>
    <w:rsid w:val="71DC5E53"/>
    <w:rsid w:val="72A72905"/>
    <w:rsid w:val="72E96A79"/>
    <w:rsid w:val="734E2D80"/>
    <w:rsid w:val="73BF4EF4"/>
    <w:rsid w:val="73F82B55"/>
    <w:rsid w:val="760065B4"/>
    <w:rsid w:val="770976EA"/>
    <w:rsid w:val="77A362D1"/>
    <w:rsid w:val="790363CB"/>
    <w:rsid w:val="79183C14"/>
    <w:rsid w:val="7AB01622"/>
    <w:rsid w:val="7ADE2C3C"/>
    <w:rsid w:val="7AE47BEE"/>
    <w:rsid w:val="7B205CD8"/>
    <w:rsid w:val="7B3311D9"/>
    <w:rsid w:val="7BDE7397"/>
    <w:rsid w:val="7C544C15"/>
    <w:rsid w:val="7D6F3CF1"/>
    <w:rsid w:val="7F5B4B9E"/>
    <w:rsid w:val="7FC433AA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5"/>
    <w:autoRedefine/>
    <w:qFormat/>
    <w:uiPriority w:val="0"/>
    <w:pPr>
      <w:keepNext/>
      <w:snapToGrid w:val="0"/>
      <w:spacing w:before="50" w:beforeLines="50" w:after="50" w:afterLines="50" w:line="360" w:lineRule="auto"/>
      <w:outlineLvl w:val="0"/>
    </w:pPr>
    <w:rPr>
      <w:rFonts w:ascii="宋体" w:hAnsi="宋体" w:eastAsia="宋体"/>
      <w:b/>
      <w:sz w:val="36"/>
    </w:rPr>
  </w:style>
  <w:style w:type="paragraph" w:styleId="3">
    <w:name w:val="heading 2"/>
    <w:basedOn w:val="1"/>
    <w:link w:val="16"/>
    <w:autoRedefine/>
    <w:semiHidden/>
    <w:unhideWhenUsed/>
    <w:qFormat/>
    <w:uiPriority w:val="0"/>
    <w:pPr>
      <w:keepNext/>
      <w:keepLines/>
      <w:spacing w:before="140" w:after="140" w:line="360" w:lineRule="auto"/>
      <w:outlineLvl w:val="1"/>
    </w:pPr>
    <w:rPr>
      <w:rFonts w:ascii="Arial" w:hAnsi="Arial" w:eastAsia="宋体"/>
      <w:b/>
      <w:sz w:val="32"/>
    </w:rPr>
  </w:style>
  <w:style w:type="paragraph" w:styleId="4">
    <w:name w:val="heading 3"/>
    <w:basedOn w:val="1"/>
    <w:link w:val="14"/>
    <w:autoRedefine/>
    <w:semiHidden/>
    <w:unhideWhenUsed/>
    <w:qFormat/>
    <w:uiPriority w:val="0"/>
    <w:pPr>
      <w:keepNext/>
      <w:keepLines/>
      <w:spacing w:before="20" w:after="20" w:line="413" w:lineRule="auto"/>
      <w:outlineLvl w:val="2"/>
    </w:pPr>
    <w:rPr>
      <w:rFonts w:ascii="Times New Roman" w:hAnsi="Times New Roman" w:eastAsia="宋体" w:cs="Times New Roman"/>
      <w:b/>
      <w:color w:val="000000"/>
      <w:kern w:val="0"/>
      <w:sz w:val="28"/>
      <w:szCs w:val="20"/>
    </w:rPr>
  </w:style>
  <w:style w:type="paragraph" w:styleId="5">
    <w:name w:val="heading 4"/>
    <w:basedOn w:val="1"/>
    <w:link w:val="17"/>
    <w:autoRedefine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宋体" w:cs="Times New Roman"/>
      <w:sz w:val="28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7">
    <w:name w:val="footer"/>
    <w:basedOn w:val="1"/>
    <w:link w:val="2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2">
    <w:name w:val="Strong"/>
    <w:autoRedefine/>
    <w:qFormat/>
    <w:uiPriority w:val="22"/>
    <w:rPr>
      <w:b/>
    </w:rPr>
  </w:style>
  <w:style w:type="paragraph" w:customStyle="1" w:styleId="13">
    <w:name w:val="TOC 标题1"/>
    <w:basedOn w:val="2"/>
    <w:autoRedefine/>
    <w:unhideWhenUsed/>
    <w:qFormat/>
    <w:uiPriority w:val="39"/>
    <w:pPr>
      <w:widowControl/>
      <w:tabs>
        <w:tab w:val="left" w:pos="432"/>
        <w:tab w:val="left" w:pos="999"/>
      </w:tabs>
      <w:spacing w:after="0" w:line="260" w:lineRule="auto"/>
      <w:jc w:val="left"/>
      <w:outlineLvl w:val="9"/>
    </w:pPr>
    <w:rPr>
      <w:rFonts w:asciiTheme="majorHAnsi" w:hAnsiTheme="majorHAnsi" w:eastAsiaTheme="majorEastAsia" w:cstheme="majorBidi"/>
      <w:color w:val="2E54A1" w:themeColor="accent1" w:themeShade="BF"/>
      <w:kern w:val="0"/>
      <w:sz w:val="32"/>
      <w:szCs w:val="32"/>
    </w:rPr>
  </w:style>
  <w:style w:type="character" w:customStyle="1" w:styleId="14">
    <w:name w:val="标题 3 字符"/>
    <w:basedOn w:val="11"/>
    <w:link w:val="4"/>
    <w:autoRedefine/>
    <w:qFormat/>
    <w:uiPriority w:val="0"/>
    <w:rPr>
      <w:rFonts w:ascii="Times New Roman" w:hAnsi="Times New Roman" w:eastAsia="宋体" w:cs="Times New Roman"/>
      <w:b/>
      <w:color w:val="000000"/>
      <w:kern w:val="0"/>
      <w:sz w:val="28"/>
      <w:szCs w:val="20"/>
    </w:rPr>
  </w:style>
  <w:style w:type="character" w:customStyle="1" w:styleId="15">
    <w:name w:val="标题 1 字符"/>
    <w:basedOn w:val="11"/>
    <w:link w:val="2"/>
    <w:autoRedefine/>
    <w:qFormat/>
    <w:uiPriority w:val="0"/>
    <w:rPr>
      <w:rFonts w:ascii="宋体" w:hAnsi="宋体" w:eastAsia="宋体" w:cs="Times New Roman"/>
      <w:kern w:val="2"/>
      <w:sz w:val="36"/>
    </w:rPr>
  </w:style>
  <w:style w:type="character" w:customStyle="1" w:styleId="16">
    <w:name w:val="标题 2 字符"/>
    <w:link w:val="3"/>
    <w:autoRedefine/>
    <w:qFormat/>
    <w:uiPriority w:val="9"/>
    <w:rPr>
      <w:rFonts w:ascii="Arial" w:hAnsi="Arial" w:eastAsia="宋体"/>
      <w:b/>
      <w:kern w:val="2"/>
      <w:sz w:val="30"/>
    </w:rPr>
  </w:style>
  <w:style w:type="character" w:customStyle="1" w:styleId="17">
    <w:name w:val="标题 4 字符"/>
    <w:link w:val="5"/>
    <w:autoRedefine/>
    <w:qFormat/>
    <w:uiPriority w:val="0"/>
    <w:rPr>
      <w:rFonts w:ascii="Arial" w:hAnsi="Arial" w:eastAsia="宋体" w:cs="Times New Roman"/>
      <w:sz w:val="28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页眉 字符"/>
    <w:basedOn w:val="11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字符"/>
    <w:basedOn w:val="11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NormalCharacter"/>
    <w:autoRedefine/>
    <w:qFormat/>
    <w:uiPriority w:val="0"/>
    <w:rPr>
      <w:rFonts w:eastAsia="仿宋_GB231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>
              <a:schemeClr val="phClr">
                <a:alpha val="60000"/>
              </a:schemeClr>
            </a:outerShdw>
          </a:effectLst>
        </a:effectStyle>
        <a:effectStyle>
          <a:effectLst>
            <a:reflection/>
          </a:effectLst>
        </a:effectStyle>
        <a:effectStyle>
          <a:effectLst>
            <a:outerShdw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2168</Words>
  <Characters>2209</Characters>
  <Lines>21</Lines>
  <Paragraphs>6</Paragraphs>
  <TotalTime>13</TotalTime>
  <ScaleCrop>false</ScaleCrop>
  <LinksUpToDate>false</LinksUpToDate>
  <CharactersWithSpaces>2209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2024-04-12T12:08:00Z</dcterms:created>
  <dc:creator>Tang</dc:creator>
  <cp:lastModifiedBy>王磊</cp:lastModifiedBy>
  <dcterms:modified xsi:type="dcterms:W3CDTF">2026-04-27T09:07:37Z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5AAD4BD35BC4414BBB33FD0EBCE6E51A_13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