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10F" w:rsidRPr="00CA336C" w:rsidRDefault="0041234A" w:rsidP="009737F9">
      <w:pPr>
        <w:tabs>
          <w:tab w:val="left" w:pos="2020"/>
        </w:tabs>
        <w:spacing w:before="114" w:line="222" w:lineRule="auto"/>
        <w:jc w:val="center"/>
        <w:outlineLvl w:val="0"/>
        <w:rPr>
          <w:rFonts w:ascii="微软雅黑" w:eastAsia="微软雅黑" w:hAnsi="微软雅黑" w:cs="黑体"/>
          <w:b/>
          <w:sz w:val="36"/>
          <w:szCs w:val="36"/>
          <w:lang w:eastAsia="zh-CN"/>
        </w:rPr>
      </w:pPr>
      <w:r w:rsidRPr="00CA336C">
        <w:rPr>
          <w:rFonts w:ascii="微软雅黑" w:eastAsia="微软雅黑" w:hAnsi="微软雅黑" w:cs="黑体" w:hint="eastAsia"/>
          <w:b/>
          <w:spacing w:val="7"/>
          <w:sz w:val="36"/>
          <w:szCs w:val="36"/>
          <w:lang w:eastAsia="zh-CN"/>
        </w:rPr>
        <w:t>公共事业管理</w:t>
      </w:r>
      <w:r w:rsidRPr="00CA336C">
        <w:rPr>
          <w:rFonts w:ascii="微软雅黑" w:eastAsia="微软雅黑" w:hAnsi="微软雅黑" w:cs="黑体"/>
          <w:b/>
          <w:spacing w:val="7"/>
          <w:sz w:val="36"/>
          <w:szCs w:val="36"/>
          <w:lang w:eastAsia="zh-CN"/>
        </w:rPr>
        <w:t>辅修专业人才培养方案</w:t>
      </w:r>
    </w:p>
    <w:p w:rsidR="0020110F" w:rsidRPr="007552B4" w:rsidRDefault="007552B4" w:rsidP="007552B4">
      <w:pPr>
        <w:tabs>
          <w:tab w:val="left" w:pos="2020"/>
        </w:tabs>
        <w:spacing w:before="114" w:line="222" w:lineRule="auto"/>
        <w:jc w:val="center"/>
        <w:outlineLvl w:val="0"/>
        <w:rPr>
          <w:rFonts w:ascii="微软雅黑" w:eastAsia="微软雅黑" w:hAnsi="微软雅黑" w:cs="黑体"/>
          <w:b/>
          <w:spacing w:val="7"/>
          <w:sz w:val="30"/>
          <w:szCs w:val="30"/>
          <w:lang w:eastAsia="zh-CN"/>
        </w:rPr>
      </w:pPr>
      <w:r w:rsidRPr="007552B4">
        <w:rPr>
          <w:rFonts w:ascii="微软雅黑" w:eastAsia="微软雅黑" w:hAnsi="微软雅黑" w:cs="黑体"/>
          <w:spacing w:val="7"/>
          <w:sz w:val="30"/>
          <w:szCs w:val="30"/>
        </w:rPr>
        <w:t>（专业代码：</w:t>
      </w:r>
      <w:r w:rsidRPr="007552B4">
        <w:rPr>
          <w:rFonts w:ascii="微软雅黑" w:eastAsia="微软雅黑" w:hAnsi="微软雅黑" w:cs="黑体"/>
          <w:spacing w:val="7"/>
          <w:sz w:val="30"/>
          <w:szCs w:val="30"/>
          <w:lang w:eastAsia="zh-CN"/>
        </w:rPr>
        <w:t>120401）</w:t>
      </w:r>
    </w:p>
    <w:p w:rsidR="0020110F" w:rsidRDefault="0020110F">
      <w:pPr>
        <w:pStyle w:val="a3"/>
        <w:spacing w:line="326" w:lineRule="auto"/>
        <w:rPr>
          <w:lang w:eastAsia="zh-CN"/>
        </w:rPr>
      </w:pPr>
    </w:p>
    <w:p w:rsidR="0020110F" w:rsidRPr="009737F9" w:rsidRDefault="0041234A" w:rsidP="002C4A95">
      <w:pPr>
        <w:spacing w:line="500" w:lineRule="exact"/>
        <w:rPr>
          <w:rFonts w:ascii="黑体" w:eastAsia="黑体" w:hAnsi="黑体" w:cs="黑体"/>
          <w:b/>
          <w:sz w:val="28"/>
          <w:szCs w:val="28"/>
          <w:lang w:eastAsia="zh-CN"/>
        </w:rPr>
      </w:pPr>
      <w:r w:rsidRPr="009737F9">
        <w:rPr>
          <w:rFonts w:ascii="黑体" w:eastAsia="黑体" w:hAnsi="黑体" w:cs="黑体"/>
          <w:b/>
          <w:spacing w:val="-3"/>
          <w:sz w:val="28"/>
          <w:szCs w:val="28"/>
          <w:lang w:eastAsia="zh-CN"/>
        </w:rPr>
        <w:t>一、培养目标</w:t>
      </w:r>
    </w:p>
    <w:p w:rsidR="00D25FA3" w:rsidRPr="00D25FA3" w:rsidRDefault="00D25FA3" w:rsidP="002C4A95">
      <w:pPr>
        <w:kinsoku/>
        <w:autoSpaceDE/>
        <w:autoSpaceDN/>
        <w:adjustRightInd/>
        <w:snapToGrid/>
        <w:spacing w:line="500" w:lineRule="exact"/>
        <w:ind w:leftChars="8" w:left="17" w:firstLineChars="200" w:firstLine="560"/>
        <w:jc w:val="both"/>
        <w:textAlignment w:val="auto"/>
        <w:rPr>
          <w:rFonts w:ascii="宋体" w:eastAsia="宋体" w:hAnsi="宋体" w:cs="Times New Roman"/>
          <w:snapToGrid/>
          <w:kern w:val="2"/>
          <w:sz w:val="28"/>
          <w:szCs w:val="28"/>
          <w:lang w:eastAsia="zh-CN"/>
        </w:rPr>
      </w:pPr>
      <w:r w:rsidRPr="00D25FA3">
        <w:rPr>
          <w:rFonts w:ascii="宋体" w:eastAsia="宋体" w:hAnsi="宋体" w:cs="Times New Roman" w:hint="eastAsia"/>
          <w:snapToGrid/>
          <w:kern w:val="2"/>
          <w:sz w:val="28"/>
          <w:szCs w:val="28"/>
          <w:lang w:eastAsia="zh-CN"/>
        </w:rPr>
        <w:t>公共事业管理辅修专业致力于培养具有全面素质、创新精神和社会责任感的专业人才。我们的目标是塑造具备现代公共管理理论知识、方法和技术，能够熟练运用大数据工具和信息技术，具有马克思主义理论素养和公共意识的毕业</w:t>
      </w:r>
      <w:bookmarkStart w:id="0" w:name="_GoBack"/>
      <w:bookmarkEnd w:id="0"/>
      <w:r w:rsidRPr="00D25FA3">
        <w:rPr>
          <w:rFonts w:ascii="宋体" w:eastAsia="宋体" w:hAnsi="宋体" w:cs="Times New Roman" w:hint="eastAsia"/>
          <w:snapToGrid/>
          <w:kern w:val="2"/>
          <w:sz w:val="28"/>
          <w:szCs w:val="28"/>
          <w:lang w:eastAsia="zh-CN"/>
        </w:rPr>
        <w:t>生。本专业注重培养学生的分析判断能力、人文科学素养、社会责任感以及职业道德，同时强调国际视野和本土情怀的融合。毕业生将能够在党政机关、事业单位、社会团体等公共部门中，从事管理或服务工作，并在毕业后</w:t>
      </w:r>
      <w:r w:rsidRPr="00D25FA3">
        <w:rPr>
          <w:rFonts w:ascii="宋体" w:eastAsia="宋体" w:hAnsi="宋体" w:cs="Times New Roman"/>
          <w:snapToGrid/>
          <w:kern w:val="2"/>
          <w:sz w:val="28"/>
          <w:szCs w:val="28"/>
          <w:lang w:eastAsia="zh-CN"/>
        </w:rPr>
        <w:t>3</w:t>
      </w:r>
      <w:r w:rsidRPr="00D25FA3">
        <w:rPr>
          <w:rFonts w:ascii="宋体" w:eastAsia="宋体" w:hAnsi="宋体" w:cs="Times New Roman" w:hint="eastAsia"/>
          <w:snapToGrid/>
          <w:kern w:val="2"/>
          <w:sz w:val="28"/>
          <w:szCs w:val="28"/>
          <w:lang w:eastAsia="zh-CN"/>
        </w:rPr>
        <w:t>至</w:t>
      </w:r>
      <w:r w:rsidRPr="00D25FA3">
        <w:rPr>
          <w:rFonts w:ascii="宋体" w:eastAsia="宋体" w:hAnsi="宋体" w:cs="Times New Roman"/>
          <w:snapToGrid/>
          <w:kern w:val="2"/>
          <w:sz w:val="28"/>
          <w:szCs w:val="28"/>
          <w:lang w:eastAsia="zh-CN"/>
        </w:rPr>
        <w:t>5</w:t>
      </w:r>
      <w:r w:rsidRPr="00D25FA3">
        <w:rPr>
          <w:rFonts w:ascii="宋体" w:eastAsia="宋体" w:hAnsi="宋体" w:cs="Times New Roman" w:hint="eastAsia"/>
          <w:snapToGrid/>
          <w:kern w:val="2"/>
          <w:sz w:val="28"/>
          <w:szCs w:val="28"/>
          <w:lang w:eastAsia="zh-CN"/>
        </w:rPr>
        <w:t>年内承担起现代公共事业管理领域的管理服务职责，为社会的发展做出积极贡献。</w:t>
      </w:r>
    </w:p>
    <w:p w:rsidR="00D25FA3" w:rsidRPr="00D25FA3" w:rsidRDefault="00D25FA3" w:rsidP="002C4A95">
      <w:pPr>
        <w:spacing w:line="500" w:lineRule="exact"/>
        <w:rPr>
          <w:rFonts w:ascii="黑体" w:eastAsia="黑体" w:hAnsi="黑体" w:cs="黑体"/>
          <w:b/>
          <w:spacing w:val="-3"/>
          <w:sz w:val="28"/>
          <w:szCs w:val="28"/>
          <w:lang w:eastAsia="zh-CN"/>
        </w:rPr>
      </w:pPr>
      <w:r w:rsidRPr="00D25FA3">
        <w:rPr>
          <w:rFonts w:ascii="黑体" w:eastAsia="黑体" w:hAnsi="黑体" w:cs="黑体"/>
          <w:b/>
          <w:spacing w:val="-3"/>
          <w:sz w:val="28"/>
          <w:szCs w:val="28"/>
          <w:lang w:eastAsia="zh-CN"/>
        </w:rPr>
        <w:t>二、</w:t>
      </w:r>
      <w:r w:rsidRPr="00D25FA3">
        <w:rPr>
          <w:rFonts w:ascii="黑体" w:eastAsia="黑体" w:hAnsi="黑体" w:cs="黑体" w:hint="eastAsia"/>
          <w:b/>
          <w:spacing w:val="-3"/>
          <w:sz w:val="28"/>
          <w:szCs w:val="28"/>
          <w:lang w:eastAsia="zh-CN"/>
        </w:rPr>
        <w:t>毕业要求</w:t>
      </w:r>
    </w:p>
    <w:p w:rsidR="00D25FA3" w:rsidRPr="00D25FA3" w:rsidRDefault="00D25FA3" w:rsidP="002C4A95">
      <w:pPr>
        <w:kinsoku/>
        <w:autoSpaceDE/>
        <w:autoSpaceDN/>
        <w:adjustRightInd/>
        <w:snapToGrid/>
        <w:spacing w:line="500" w:lineRule="exact"/>
        <w:ind w:leftChars="8" w:left="17" w:firstLineChars="200" w:firstLine="562"/>
        <w:jc w:val="both"/>
        <w:textAlignment w:val="auto"/>
        <w:rPr>
          <w:rFonts w:ascii="宋体" w:eastAsia="宋体" w:hAnsi="宋体" w:cs="Times New Roman"/>
          <w:snapToGrid/>
          <w:kern w:val="2"/>
          <w:sz w:val="28"/>
          <w:szCs w:val="28"/>
          <w:lang w:eastAsia="zh-CN"/>
        </w:rPr>
      </w:pPr>
      <w:r w:rsidRPr="002C4A95">
        <w:rPr>
          <w:rFonts w:ascii="黑体" w:eastAsia="黑体" w:hAnsi="黑体" w:cs="Times New Roman"/>
          <w:b/>
          <w:snapToGrid/>
          <w:kern w:val="2"/>
          <w:sz w:val="28"/>
          <w:szCs w:val="28"/>
          <w:lang w:eastAsia="zh-CN"/>
        </w:rPr>
        <w:t>1.</w:t>
      </w:r>
      <w:r w:rsidRPr="002C4A95">
        <w:rPr>
          <w:rFonts w:ascii="黑体" w:eastAsia="黑体" w:hAnsi="黑体" w:cs="Times New Roman" w:hint="eastAsia"/>
          <w:b/>
          <w:snapToGrid/>
          <w:kern w:val="2"/>
          <w:sz w:val="28"/>
          <w:szCs w:val="28"/>
          <w:lang w:eastAsia="zh-CN"/>
        </w:rPr>
        <w:t>政治修养：</w:t>
      </w:r>
      <w:r w:rsidRPr="00D25FA3">
        <w:rPr>
          <w:rFonts w:ascii="宋体" w:eastAsia="宋体" w:hAnsi="宋体" w:cs="Times New Roman" w:hint="eastAsia"/>
          <w:snapToGrid/>
          <w:kern w:val="2"/>
          <w:sz w:val="28"/>
          <w:szCs w:val="28"/>
          <w:lang w:eastAsia="zh-CN"/>
        </w:rPr>
        <w:t>毕业生应践行社会主义核心价值观，具备优良的政治品质，忠于祖国和人民，拥护中国共产党的领导，并立志投身于新时代中国特色社会主义建设及中华民族伟大复兴事业。</w:t>
      </w:r>
    </w:p>
    <w:p w:rsidR="00D25FA3" w:rsidRPr="00D25FA3" w:rsidRDefault="00D25FA3" w:rsidP="002C4A95">
      <w:pPr>
        <w:kinsoku/>
        <w:autoSpaceDE/>
        <w:autoSpaceDN/>
        <w:adjustRightInd/>
        <w:snapToGrid/>
        <w:spacing w:line="500" w:lineRule="exact"/>
        <w:ind w:leftChars="8" w:left="17" w:firstLineChars="200" w:firstLine="562"/>
        <w:jc w:val="both"/>
        <w:textAlignment w:val="auto"/>
        <w:rPr>
          <w:rFonts w:ascii="宋体" w:eastAsia="宋体" w:hAnsi="宋体" w:cs="Times New Roman"/>
          <w:snapToGrid/>
          <w:kern w:val="2"/>
          <w:sz w:val="28"/>
          <w:szCs w:val="28"/>
          <w:lang w:eastAsia="zh-CN"/>
        </w:rPr>
      </w:pPr>
      <w:r w:rsidRPr="002C4A95">
        <w:rPr>
          <w:rFonts w:ascii="黑体" w:eastAsia="黑体" w:hAnsi="黑体" w:cs="Times New Roman"/>
          <w:b/>
          <w:snapToGrid/>
          <w:kern w:val="2"/>
          <w:sz w:val="28"/>
          <w:szCs w:val="28"/>
          <w:lang w:eastAsia="zh-CN"/>
        </w:rPr>
        <w:t>2.</w:t>
      </w:r>
      <w:r w:rsidRPr="002C4A95">
        <w:rPr>
          <w:rFonts w:ascii="黑体" w:eastAsia="黑体" w:hAnsi="黑体" w:cs="Times New Roman" w:hint="eastAsia"/>
          <w:b/>
          <w:snapToGrid/>
          <w:kern w:val="2"/>
          <w:sz w:val="28"/>
          <w:szCs w:val="28"/>
          <w:lang w:eastAsia="zh-CN"/>
        </w:rPr>
        <w:t>知识要求：</w:t>
      </w:r>
      <w:r w:rsidRPr="00D25FA3">
        <w:rPr>
          <w:rFonts w:ascii="宋体" w:eastAsia="宋体" w:hAnsi="宋体" w:cs="Times New Roman" w:hint="eastAsia"/>
          <w:snapToGrid/>
          <w:kern w:val="2"/>
          <w:sz w:val="28"/>
          <w:szCs w:val="28"/>
          <w:lang w:eastAsia="zh-CN"/>
        </w:rPr>
        <w:t>毕业生应掌握管理学、经济学、公共管理等学科的基本理论知识，熟悉公共政策法规和公共事业管理的工作规程，了解国内外公共管理理论和政策发展动态。</w:t>
      </w:r>
    </w:p>
    <w:p w:rsidR="00D25FA3" w:rsidRPr="00D25FA3" w:rsidRDefault="00D25FA3" w:rsidP="002C4A95">
      <w:pPr>
        <w:kinsoku/>
        <w:autoSpaceDE/>
        <w:autoSpaceDN/>
        <w:adjustRightInd/>
        <w:snapToGrid/>
        <w:spacing w:line="500" w:lineRule="exact"/>
        <w:ind w:leftChars="8" w:left="17" w:firstLineChars="200" w:firstLine="562"/>
        <w:jc w:val="both"/>
        <w:textAlignment w:val="auto"/>
        <w:rPr>
          <w:rFonts w:ascii="宋体" w:eastAsia="宋体" w:hAnsi="宋体" w:cs="Times New Roman"/>
          <w:snapToGrid/>
          <w:kern w:val="2"/>
          <w:sz w:val="28"/>
          <w:szCs w:val="28"/>
          <w:lang w:eastAsia="zh-CN"/>
        </w:rPr>
      </w:pPr>
      <w:r w:rsidRPr="002C4A95">
        <w:rPr>
          <w:rFonts w:ascii="黑体" w:eastAsia="黑体" w:hAnsi="黑体" w:cs="Times New Roman"/>
          <w:b/>
          <w:snapToGrid/>
          <w:kern w:val="2"/>
          <w:sz w:val="28"/>
          <w:szCs w:val="28"/>
          <w:lang w:eastAsia="zh-CN"/>
        </w:rPr>
        <w:t>3.</w:t>
      </w:r>
      <w:r w:rsidRPr="002C4A95">
        <w:rPr>
          <w:rFonts w:ascii="黑体" w:eastAsia="黑体" w:hAnsi="黑体" w:cs="Times New Roman" w:hint="eastAsia"/>
          <w:b/>
          <w:snapToGrid/>
          <w:kern w:val="2"/>
          <w:sz w:val="28"/>
          <w:szCs w:val="28"/>
          <w:lang w:eastAsia="zh-CN"/>
        </w:rPr>
        <w:t>能力要求：</w:t>
      </w:r>
      <w:r w:rsidRPr="00D25FA3">
        <w:rPr>
          <w:rFonts w:ascii="宋体" w:eastAsia="宋体" w:hAnsi="宋体" w:cs="Times New Roman" w:hint="eastAsia"/>
          <w:snapToGrid/>
          <w:kern w:val="2"/>
          <w:sz w:val="28"/>
          <w:szCs w:val="28"/>
          <w:lang w:eastAsia="zh-CN"/>
        </w:rPr>
        <w:t>毕业生应具备问题意识与分析能力，能够对复杂的社会现象和问题进行深入分析和研究，提出有效的解决方案。应具备良好的沟通协调能力、合作与创新能力，以及组织领导能力。</w:t>
      </w:r>
      <w:r w:rsidR="00CA336C" w:rsidRPr="00D25FA3">
        <w:rPr>
          <w:rFonts w:ascii="宋体" w:eastAsia="宋体" w:hAnsi="宋体" w:cs="Times New Roman" w:hint="eastAsia"/>
          <w:snapToGrid/>
          <w:kern w:val="2"/>
          <w:sz w:val="28"/>
          <w:szCs w:val="28"/>
          <w:lang w:eastAsia="zh-CN"/>
        </w:rPr>
        <w:t>掌握公共事业管理的基本技能，熟悉相关专业的基本方法，能够运用现代信息技术获取有效数据信息，并具有较强的公共事业管理研究和实际工作能力。</w:t>
      </w:r>
    </w:p>
    <w:p w:rsidR="00D25FA3" w:rsidRPr="00D25FA3" w:rsidRDefault="00D25FA3" w:rsidP="00CA336C">
      <w:pPr>
        <w:kinsoku/>
        <w:autoSpaceDE/>
        <w:autoSpaceDN/>
        <w:adjustRightInd/>
        <w:snapToGrid/>
        <w:spacing w:line="500" w:lineRule="exact"/>
        <w:ind w:leftChars="8" w:left="17" w:firstLineChars="200" w:firstLine="562"/>
        <w:jc w:val="both"/>
        <w:textAlignment w:val="auto"/>
        <w:rPr>
          <w:rFonts w:ascii="宋体" w:eastAsia="宋体" w:hAnsi="宋体" w:cs="Times New Roman"/>
          <w:snapToGrid/>
          <w:kern w:val="2"/>
          <w:sz w:val="28"/>
          <w:szCs w:val="28"/>
          <w:lang w:eastAsia="zh-CN"/>
        </w:rPr>
      </w:pPr>
      <w:r w:rsidRPr="002C4A95">
        <w:rPr>
          <w:rFonts w:ascii="黑体" w:eastAsia="黑体" w:hAnsi="黑体" w:cs="Times New Roman"/>
          <w:b/>
          <w:snapToGrid/>
          <w:kern w:val="2"/>
          <w:sz w:val="28"/>
          <w:szCs w:val="28"/>
          <w:lang w:eastAsia="zh-CN"/>
        </w:rPr>
        <w:t>4.</w:t>
      </w:r>
      <w:r w:rsidRPr="002C4A95">
        <w:rPr>
          <w:rFonts w:ascii="黑体" w:eastAsia="黑体" w:hAnsi="黑体" w:cs="Times New Roman" w:hint="eastAsia"/>
          <w:b/>
          <w:snapToGrid/>
          <w:kern w:val="2"/>
          <w:sz w:val="28"/>
          <w:szCs w:val="28"/>
          <w:lang w:eastAsia="zh-CN"/>
        </w:rPr>
        <w:t>素养要求：</w:t>
      </w:r>
      <w:r w:rsidRPr="00D25FA3">
        <w:rPr>
          <w:rFonts w:ascii="宋体" w:eastAsia="宋体" w:hAnsi="宋体" w:cs="Times New Roman" w:hint="eastAsia"/>
          <w:snapToGrid/>
          <w:kern w:val="2"/>
          <w:sz w:val="28"/>
          <w:szCs w:val="28"/>
          <w:lang w:eastAsia="zh-CN"/>
        </w:rPr>
        <w:t>毕业生应具有社会责任感和公民意识，积极参与公益活动，为社会发展做出贡献。同时，应具备人文素养，理解和尊重不同的文化、信仰和价值观，具有跨文化交流和合作的能力。具有可</w:t>
      </w:r>
      <w:r w:rsidRPr="00D25FA3">
        <w:rPr>
          <w:rFonts w:ascii="宋体" w:eastAsia="宋体" w:hAnsi="宋体" w:cs="Times New Roman" w:hint="eastAsia"/>
          <w:snapToGrid/>
          <w:kern w:val="2"/>
          <w:sz w:val="28"/>
          <w:szCs w:val="28"/>
          <w:lang w:eastAsia="zh-CN"/>
        </w:rPr>
        <w:lastRenderedPageBreak/>
        <w:t>持续发展的理念和终身学习的意识，通过不断学习提升专业知识水平，满足职业发展要求，实现自我更新与突破。</w:t>
      </w:r>
    </w:p>
    <w:p w:rsidR="0020110F" w:rsidRPr="009737F9" w:rsidRDefault="0041234A" w:rsidP="002C4A95">
      <w:pPr>
        <w:kinsoku/>
        <w:autoSpaceDE/>
        <w:autoSpaceDN/>
        <w:adjustRightInd/>
        <w:snapToGrid/>
        <w:spacing w:line="500" w:lineRule="exact"/>
        <w:textAlignment w:val="auto"/>
        <w:rPr>
          <w:rFonts w:ascii="黑体" w:eastAsia="黑体" w:hAnsi="黑体" w:cs="黑体"/>
          <w:b/>
          <w:spacing w:val="-3"/>
          <w:sz w:val="28"/>
          <w:szCs w:val="28"/>
          <w:lang w:eastAsia="zh-CN"/>
        </w:rPr>
      </w:pPr>
      <w:r w:rsidRPr="009737F9">
        <w:rPr>
          <w:rFonts w:ascii="黑体" w:eastAsia="黑体" w:hAnsi="黑体" w:cs="黑体"/>
          <w:b/>
          <w:spacing w:val="-3"/>
          <w:sz w:val="28"/>
          <w:szCs w:val="28"/>
          <w:lang w:eastAsia="zh-CN"/>
        </w:rPr>
        <w:t>三、修业年限、学时、学分与授予学位</w:t>
      </w:r>
    </w:p>
    <w:p w:rsidR="0020110F" w:rsidRPr="009737F9" w:rsidRDefault="0041234A" w:rsidP="002C4A95">
      <w:pPr>
        <w:kinsoku/>
        <w:autoSpaceDE/>
        <w:autoSpaceDN/>
        <w:adjustRightInd/>
        <w:snapToGrid/>
        <w:spacing w:line="500" w:lineRule="exact"/>
        <w:ind w:leftChars="8" w:left="17" w:firstLineChars="200" w:firstLine="560"/>
        <w:jc w:val="both"/>
        <w:textAlignment w:val="auto"/>
        <w:rPr>
          <w:rFonts w:ascii="宋体" w:eastAsia="宋体" w:hAnsi="宋体" w:cs="Times New Roman"/>
          <w:snapToGrid/>
          <w:kern w:val="2"/>
          <w:sz w:val="28"/>
          <w:szCs w:val="28"/>
          <w:lang w:eastAsia="zh-CN"/>
        </w:rPr>
      </w:pPr>
      <w:r w:rsidRPr="009737F9">
        <w:rPr>
          <w:rFonts w:ascii="宋体" w:eastAsia="宋体" w:hAnsi="宋体" w:cs="Times New Roman" w:hint="eastAsia"/>
          <w:snapToGrid/>
          <w:kern w:val="2"/>
          <w:sz w:val="28"/>
          <w:szCs w:val="28"/>
          <w:lang w:eastAsia="zh-CN"/>
        </w:rPr>
        <w:t>在</w:t>
      </w:r>
      <w:r w:rsidR="002C4A95">
        <w:rPr>
          <w:rFonts w:ascii="宋体" w:eastAsia="宋体" w:hAnsi="宋体" w:cs="Times New Roman"/>
          <w:snapToGrid/>
          <w:kern w:val="2"/>
          <w:sz w:val="28"/>
          <w:szCs w:val="28"/>
          <w:lang w:eastAsia="zh-CN"/>
        </w:rPr>
        <w:t>3</w:t>
      </w:r>
      <w:r w:rsidRPr="009737F9">
        <w:rPr>
          <w:rFonts w:ascii="宋体" w:eastAsia="宋体" w:hAnsi="宋体" w:cs="Times New Roman" w:hint="eastAsia"/>
          <w:snapToGrid/>
          <w:kern w:val="2"/>
          <w:sz w:val="28"/>
          <w:szCs w:val="28"/>
          <w:lang w:eastAsia="zh-CN"/>
        </w:rPr>
        <w:t>年修业年限内，学生修满本专业人才培养方案规定的480学时 30 学分 方可申请毕业。符合学位授予要求者，经申请可授予管理学学士学位。</w:t>
      </w:r>
    </w:p>
    <w:p w:rsidR="0020110F" w:rsidRPr="009737F9" w:rsidRDefault="009D5C90" w:rsidP="002C4A95">
      <w:pPr>
        <w:kinsoku/>
        <w:autoSpaceDE/>
        <w:autoSpaceDN/>
        <w:adjustRightInd/>
        <w:snapToGrid/>
        <w:spacing w:line="500" w:lineRule="exact"/>
        <w:textAlignment w:val="auto"/>
        <w:rPr>
          <w:rFonts w:ascii="黑体" w:eastAsia="黑体" w:hAnsi="黑体" w:cs="黑体"/>
          <w:b/>
          <w:spacing w:val="-3"/>
          <w:sz w:val="28"/>
          <w:szCs w:val="28"/>
          <w:lang w:eastAsia="zh-CN"/>
        </w:rPr>
      </w:pPr>
      <w:r w:rsidRPr="009737F9">
        <w:rPr>
          <w:rFonts w:ascii="黑体" w:eastAsia="黑体" w:hAnsi="黑体" w:cs="黑体"/>
          <w:b/>
          <w:spacing w:val="-3"/>
          <w:sz w:val="28"/>
          <w:szCs w:val="28"/>
          <w:lang w:eastAsia="zh-CN"/>
        </w:rPr>
        <w:t>四、</w:t>
      </w:r>
      <w:r w:rsidR="0041234A" w:rsidRPr="009737F9">
        <w:rPr>
          <w:rFonts w:ascii="黑体" w:eastAsia="黑体" w:hAnsi="黑体" w:cs="黑体"/>
          <w:b/>
          <w:spacing w:val="-3"/>
          <w:sz w:val="28"/>
          <w:szCs w:val="28"/>
          <w:lang w:eastAsia="zh-CN"/>
        </w:rPr>
        <w:t>主干学科及相近专</w:t>
      </w:r>
      <w:r w:rsidR="002C4A95">
        <w:rPr>
          <w:rFonts w:ascii="黑体" w:eastAsia="黑体" w:hAnsi="黑体" w:cs="黑体" w:hint="eastAsia"/>
          <w:b/>
          <w:spacing w:val="-3"/>
          <w:sz w:val="28"/>
          <w:szCs w:val="28"/>
          <w:lang w:eastAsia="zh-CN"/>
        </w:rPr>
        <w:t>业</w:t>
      </w:r>
    </w:p>
    <w:p w:rsidR="0020110F" w:rsidRPr="009737F9" w:rsidRDefault="002C4A95" w:rsidP="002C4A95">
      <w:pPr>
        <w:kinsoku/>
        <w:autoSpaceDE/>
        <w:autoSpaceDN/>
        <w:adjustRightInd/>
        <w:snapToGrid/>
        <w:spacing w:line="500" w:lineRule="exact"/>
        <w:ind w:leftChars="8" w:left="17" w:firstLineChars="200" w:firstLine="560"/>
        <w:jc w:val="both"/>
        <w:textAlignment w:val="auto"/>
        <w:rPr>
          <w:rFonts w:ascii="仿宋" w:eastAsia="仿宋" w:hAnsi="仿宋" w:cs="仿宋"/>
          <w:sz w:val="28"/>
          <w:szCs w:val="28"/>
          <w:lang w:eastAsia="zh-CN"/>
        </w:rPr>
      </w:pPr>
      <w:r>
        <w:rPr>
          <w:rFonts w:ascii="宋体" w:eastAsia="宋体" w:hAnsi="宋体" w:cs="Times New Roman" w:hint="eastAsia"/>
          <w:snapToGrid/>
          <w:kern w:val="2"/>
          <w:sz w:val="28"/>
          <w:szCs w:val="28"/>
          <w:lang w:eastAsia="zh-CN"/>
        </w:rPr>
        <w:t>管理学、</w:t>
      </w:r>
      <w:r w:rsidR="0041234A" w:rsidRPr="009737F9">
        <w:rPr>
          <w:rFonts w:ascii="宋体" w:eastAsia="宋体" w:hAnsi="宋体" w:cs="Times New Roman" w:hint="eastAsia"/>
          <w:snapToGrid/>
          <w:kern w:val="2"/>
          <w:sz w:val="28"/>
          <w:szCs w:val="28"/>
          <w:lang w:eastAsia="zh-CN"/>
        </w:rPr>
        <w:t>工商管理</w:t>
      </w:r>
    </w:p>
    <w:p w:rsidR="002C4A95" w:rsidRDefault="0041234A" w:rsidP="002C4A95">
      <w:pPr>
        <w:kinsoku/>
        <w:autoSpaceDE/>
        <w:autoSpaceDN/>
        <w:adjustRightInd/>
        <w:snapToGrid/>
        <w:spacing w:line="500" w:lineRule="exact"/>
        <w:textAlignment w:val="auto"/>
        <w:rPr>
          <w:rFonts w:ascii="黑体" w:eastAsia="黑体" w:hAnsi="黑体" w:cs="黑体"/>
          <w:b/>
          <w:spacing w:val="-3"/>
          <w:sz w:val="28"/>
          <w:szCs w:val="28"/>
          <w:lang w:eastAsia="zh-CN"/>
        </w:rPr>
      </w:pPr>
      <w:r w:rsidRPr="009737F9">
        <w:rPr>
          <w:rFonts w:ascii="黑体" w:eastAsia="黑体" w:hAnsi="黑体" w:cs="黑体"/>
          <w:b/>
          <w:spacing w:val="-3"/>
          <w:sz w:val="28"/>
          <w:szCs w:val="28"/>
          <w:lang w:eastAsia="zh-CN"/>
        </w:rPr>
        <w:t>五、专业核心课程及学位课程</w:t>
      </w:r>
    </w:p>
    <w:p w:rsidR="002C4A95" w:rsidRDefault="0041234A" w:rsidP="002C4A95">
      <w:pPr>
        <w:kinsoku/>
        <w:autoSpaceDE/>
        <w:autoSpaceDN/>
        <w:adjustRightInd/>
        <w:snapToGrid/>
        <w:spacing w:line="500" w:lineRule="exact"/>
        <w:ind w:firstLineChars="200" w:firstLine="556"/>
        <w:textAlignment w:val="auto"/>
        <w:rPr>
          <w:rFonts w:ascii="黑体" w:eastAsia="黑体" w:hAnsi="黑体" w:cs="黑体"/>
          <w:b/>
          <w:spacing w:val="-3"/>
          <w:sz w:val="28"/>
          <w:szCs w:val="28"/>
          <w:lang w:eastAsia="zh-CN"/>
        </w:rPr>
      </w:pPr>
      <w:r w:rsidRPr="009737F9">
        <w:rPr>
          <w:rFonts w:ascii="黑体" w:eastAsia="黑体" w:hAnsi="黑体" w:cs="黑体" w:hint="eastAsia"/>
          <w:b/>
          <w:spacing w:val="-3"/>
          <w:sz w:val="28"/>
          <w:szCs w:val="28"/>
          <w:lang w:eastAsia="zh-CN"/>
        </w:rPr>
        <w:t>专业核心课程：</w:t>
      </w:r>
    </w:p>
    <w:p w:rsidR="0020110F" w:rsidRDefault="0041234A" w:rsidP="002C4A95">
      <w:pPr>
        <w:kinsoku/>
        <w:autoSpaceDE/>
        <w:autoSpaceDN/>
        <w:adjustRightInd/>
        <w:snapToGrid/>
        <w:spacing w:line="500" w:lineRule="exact"/>
        <w:ind w:firstLineChars="200" w:firstLine="560"/>
        <w:textAlignment w:val="auto"/>
        <w:rPr>
          <w:rFonts w:ascii="宋体" w:eastAsia="宋体" w:hAnsi="宋体" w:cs="Times New Roman"/>
          <w:snapToGrid/>
          <w:kern w:val="2"/>
          <w:sz w:val="28"/>
          <w:szCs w:val="28"/>
          <w:lang w:eastAsia="zh-CN"/>
        </w:rPr>
      </w:pPr>
      <w:r w:rsidRPr="009737F9">
        <w:rPr>
          <w:rFonts w:ascii="宋体" w:eastAsia="宋体" w:hAnsi="宋体" w:cs="Times New Roman" w:hint="eastAsia"/>
          <w:snapToGrid/>
          <w:kern w:val="2"/>
          <w:sz w:val="28"/>
          <w:szCs w:val="28"/>
          <w:lang w:eastAsia="zh-CN"/>
        </w:rPr>
        <w:t>管理学原理、法学概论、数字经济、社会保障学</w:t>
      </w:r>
      <w:r w:rsidR="00CA336C">
        <w:rPr>
          <w:rFonts w:ascii="宋体" w:eastAsia="宋体" w:hAnsi="宋体" w:cs="Times New Roman" w:hint="eastAsia"/>
          <w:snapToGrid/>
          <w:kern w:val="2"/>
          <w:sz w:val="28"/>
          <w:szCs w:val="28"/>
          <w:lang w:eastAsia="zh-CN"/>
        </w:rPr>
        <w:t>、</w:t>
      </w:r>
      <w:r w:rsidR="00CA336C" w:rsidRPr="002C4A95">
        <w:rPr>
          <w:rFonts w:ascii="宋体" w:eastAsia="宋体" w:hAnsi="宋体" w:cs="Times New Roman" w:hint="eastAsia"/>
          <w:snapToGrid/>
          <w:kern w:val="2"/>
          <w:sz w:val="28"/>
          <w:szCs w:val="28"/>
          <w:lang w:eastAsia="zh-CN"/>
        </w:rPr>
        <w:t>数字经济</w:t>
      </w:r>
    </w:p>
    <w:p w:rsidR="002C4A95" w:rsidRDefault="002C4A95" w:rsidP="002C4A95">
      <w:pPr>
        <w:kinsoku/>
        <w:autoSpaceDE/>
        <w:autoSpaceDN/>
        <w:adjustRightInd/>
        <w:snapToGrid/>
        <w:spacing w:line="500" w:lineRule="exact"/>
        <w:ind w:firstLineChars="200" w:firstLine="556"/>
        <w:textAlignment w:val="auto"/>
        <w:rPr>
          <w:rFonts w:ascii="黑体" w:eastAsia="黑体" w:hAnsi="黑体" w:cs="黑体"/>
          <w:b/>
          <w:spacing w:val="-3"/>
          <w:sz w:val="28"/>
          <w:szCs w:val="28"/>
          <w:lang w:eastAsia="zh-CN"/>
        </w:rPr>
      </w:pPr>
      <w:r>
        <w:rPr>
          <w:rFonts w:ascii="黑体" w:eastAsia="黑体" w:hAnsi="黑体" w:cs="黑体"/>
          <w:b/>
          <w:spacing w:val="-3"/>
          <w:sz w:val="28"/>
          <w:szCs w:val="28"/>
          <w:lang w:eastAsia="zh-CN"/>
        </w:rPr>
        <w:t>专业</w:t>
      </w:r>
      <w:r w:rsidRPr="002C4A95">
        <w:rPr>
          <w:rFonts w:ascii="黑体" w:eastAsia="黑体" w:hAnsi="黑体" w:cs="黑体"/>
          <w:b/>
          <w:spacing w:val="-3"/>
          <w:sz w:val="28"/>
          <w:szCs w:val="28"/>
          <w:lang w:eastAsia="zh-CN"/>
        </w:rPr>
        <w:t>学位课程：</w:t>
      </w:r>
    </w:p>
    <w:p w:rsidR="002C4A95" w:rsidRPr="002C4A95" w:rsidRDefault="002C4A95" w:rsidP="002C4A95">
      <w:pPr>
        <w:kinsoku/>
        <w:autoSpaceDE/>
        <w:autoSpaceDN/>
        <w:adjustRightInd/>
        <w:snapToGrid/>
        <w:spacing w:line="500" w:lineRule="exact"/>
        <w:ind w:firstLineChars="200" w:firstLine="560"/>
        <w:textAlignment w:val="auto"/>
        <w:rPr>
          <w:rFonts w:ascii="宋体" w:eastAsia="宋体" w:hAnsi="宋体" w:cs="Times New Roman"/>
          <w:snapToGrid/>
          <w:kern w:val="2"/>
          <w:sz w:val="28"/>
          <w:szCs w:val="28"/>
          <w:lang w:eastAsia="zh-CN"/>
        </w:rPr>
      </w:pPr>
      <w:r w:rsidRPr="002C4A95">
        <w:rPr>
          <w:rFonts w:ascii="宋体" w:eastAsia="宋体" w:hAnsi="宋体" w:cs="Times New Roman" w:hint="eastAsia"/>
          <w:snapToGrid/>
          <w:kern w:val="2"/>
          <w:sz w:val="28"/>
          <w:szCs w:val="28"/>
          <w:lang w:eastAsia="zh-CN"/>
        </w:rPr>
        <w:t>管理学原理、公共管理、法学概论、社会保障学</w:t>
      </w:r>
    </w:p>
    <w:p w:rsidR="0020110F" w:rsidRPr="009737F9" w:rsidRDefault="0041234A" w:rsidP="002C4A95">
      <w:pPr>
        <w:kinsoku/>
        <w:autoSpaceDE/>
        <w:autoSpaceDN/>
        <w:adjustRightInd/>
        <w:snapToGrid/>
        <w:spacing w:line="500" w:lineRule="exact"/>
        <w:textAlignment w:val="auto"/>
        <w:rPr>
          <w:rFonts w:ascii="黑体" w:eastAsia="黑体" w:hAnsi="黑体" w:cs="黑体"/>
          <w:b/>
          <w:spacing w:val="-3"/>
          <w:sz w:val="28"/>
          <w:szCs w:val="28"/>
          <w:lang w:eastAsia="zh-CN"/>
        </w:rPr>
      </w:pPr>
      <w:r w:rsidRPr="009737F9">
        <w:rPr>
          <w:rFonts w:ascii="黑体" w:eastAsia="黑体" w:hAnsi="黑体" w:cs="黑体"/>
          <w:b/>
          <w:spacing w:val="-3"/>
          <w:sz w:val="28"/>
          <w:szCs w:val="28"/>
          <w:lang w:eastAsia="zh-CN"/>
        </w:rPr>
        <w:t>六、招生对象及报名条件</w:t>
      </w:r>
    </w:p>
    <w:p w:rsidR="0020110F" w:rsidRPr="009737F9" w:rsidRDefault="0041234A" w:rsidP="002C4A95">
      <w:pPr>
        <w:kinsoku/>
        <w:autoSpaceDE/>
        <w:autoSpaceDN/>
        <w:adjustRightInd/>
        <w:snapToGrid/>
        <w:spacing w:line="500" w:lineRule="exact"/>
        <w:ind w:leftChars="8" w:left="17" w:firstLineChars="200" w:firstLine="560"/>
        <w:textAlignment w:val="auto"/>
        <w:rPr>
          <w:rFonts w:ascii="宋体" w:eastAsia="宋体" w:hAnsi="宋体" w:cs="Times New Roman"/>
          <w:snapToGrid/>
          <w:kern w:val="2"/>
          <w:sz w:val="28"/>
          <w:szCs w:val="28"/>
          <w:lang w:eastAsia="zh-CN"/>
        </w:rPr>
      </w:pPr>
      <w:r w:rsidRPr="009737F9">
        <w:rPr>
          <w:rFonts w:ascii="宋体" w:eastAsia="宋体" w:hAnsi="宋体" w:cs="Times New Roman" w:hint="eastAsia"/>
          <w:snapToGrid/>
          <w:kern w:val="2"/>
          <w:sz w:val="28"/>
          <w:szCs w:val="28"/>
          <w:lang w:eastAsia="zh-CN"/>
        </w:rPr>
        <w:t>（一）全日制在校本科二、三年级学生；</w:t>
      </w:r>
    </w:p>
    <w:p w:rsidR="0020110F" w:rsidRPr="009737F9" w:rsidRDefault="0041234A" w:rsidP="002C4A95">
      <w:pPr>
        <w:kinsoku/>
        <w:autoSpaceDE/>
        <w:autoSpaceDN/>
        <w:adjustRightInd/>
        <w:snapToGrid/>
        <w:spacing w:line="500" w:lineRule="exact"/>
        <w:ind w:leftChars="8" w:left="17" w:firstLineChars="200" w:firstLine="560"/>
        <w:textAlignment w:val="auto"/>
        <w:rPr>
          <w:rFonts w:ascii="宋体" w:eastAsia="宋体" w:hAnsi="宋体" w:cs="Times New Roman"/>
          <w:snapToGrid/>
          <w:kern w:val="2"/>
          <w:sz w:val="28"/>
          <w:szCs w:val="28"/>
          <w:lang w:eastAsia="zh-CN"/>
        </w:rPr>
      </w:pPr>
      <w:r w:rsidRPr="009737F9">
        <w:rPr>
          <w:rFonts w:ascii="宋体" w:eastAsia="宋体" w:hAnsi="宋体" w:cs="Times New Roman" w:hint="eastAsia"/>
          <w:snapToGrid/>
          <w:kern w:val="2"/>
          <w:sz w:val="28"/>
          <w:szCs w:val="28"/>
          <w:lang w:eastAsia="zh-CN"/>
        </w:rPr>
        <w:t>（二）主修专业已修课程平均学分绩点达2.4及以上，且补考或重修后无不合格课程</w:t>
      </w:r>
      <w:r w:rsidR="002C4A95">
        <w:rPr>
          <w:rFonts w:ascii="宋体" w:eastAsia="宋体" w:hAnsi="宋体" w:cs="Times New Roman" w:hint="eastAsia"/>
          <w:snapToGrid/>
          <w:kern w:val="2"/>
          <w:sz w:val="28"/>
          <w:szCs w:val="28"/>
          <w:lang w:eastAsia="zh-CN"/>
        </w:rPr>
        <w:t>；</w:t>
      </w:r>
    </w:p>
    <w:p w:rsidR="0020110F" w:rsidRPr="009737F9" w:rsidRDefault="0041234A" w:rsidP="002C4A95">
      <w:pPr>
        <w:kinsoku/>
        <w:autoSpaceDE/>
        <w:autoSpaceDN/>
        <w:adjustRightInd/>
        <w:snapToGrid/>
        <w:spacing w:line="500" w:lineRule="exact"/>
        <w:ind w:leftChars="8" w:left="17" w:firstLineChars="200" w:firstLine="560"/>
        <w:textAlignment w:val="auto"/>
        <w:rPr>
          <w:rFonts w:ascii="宋体" w:eastAsia="宋体" w:hAnsi="宋体" w:cs="Times New Roman"/>
          <w:snapToGrid/>
          <w:kern w:val="2"/>
          <w:sz w:val="28"/>
          <w:szCs w:val="28"/>
          <w:lang w:eastAsia="zh-CN"/>
        </w:rPr>
      </w:pPr>
      <w:r w:rsidRPr="009737F9">
        <w:rPr>
          <w:rFonts w:ascii="宋体" w:eastAsia="宋体" w:hAnsi="宋体" w:cs="Times New Roman" w:hint="eastAsia"/>
          <w:snapToGrid/>
          <w:kern w:val="2"/>
          <w:sz w:val="28"/>
          <w:szCs w:val="28"/>
          <w:lang w:eastAsia="zh-CN"/>
        </w:rPr>
        <w:t>（三）学有余力，不影响主修专业学习。</w:t>
      </w:r>
    </w:p>
    <w:p w:rsidR="0020110F" w:rsidRPr="009737F9" w:rsidRDefault="0020110F" w:rsidP="009737F9">
      <w:pPr>
        <w:kinsoku/>
        <w:autoSpaceDE/>
        <w:autoSpaceDN/>
        <w:adjustRightInd/>
        <w:snapToGrid/>
        <w:spacing w:line="440" w:lineRule="exact"/>
        <w:ind w:leftChars="8" w:left="17" w:firstLineChars="200" w:firstLine="560"/>
        <w:textAlignment w:val="auto"/>
        <w:rPr>
          <w:rFonts w:ascii="宋体" w:eastAsia="宋体" w:hAnsi="宋体" w:cs="Times New Roman"/>
          <w:snapToGrid/>
          <w:kern w:val="2"/>
          <w:sz w:val="28"/>
          <w:szCs w:val="28"/>
          <w:lang w:eastAsia="zh-CN"/>
        </w:rPr>
        <w:sectPr w:rsidR="0020110F" w:rsidRPr="009737F9">
          <w:footerReference w:type="default" r:id="rId7"/>
          <w:pgSz w:w="11906" w:h="16839"/>
          <w:pgMar w:top="1431" w:right="1617" w:bottom="1151" w:left="1785" w:header="0" w:footer="989" w:gutter="0"/>
          <w:cols w:space="720"/>
        </w:sectPr>
      </w:pPr>
    </w:p>
    <w:p w:rsidR="0020110F" w:rsidRPr="009737F9" w:rsidRDefault="0041234A" w:rsidP="009737F9">
      <w:pPr>
        <w:kinsoku/>
        <w:autoSpaceDE/>
        <w:autoSpaceDN/>
        <w:adjustRightInd/>
        <w:snapToGrid/>
        <w:spacing w:line="440" w:lineRule="exact"/>
        <w:textAlignment w:val="auto"/>
        <w:rPr>
          <w:rFonts w:ascii="黑体" w:eastAsia="黑体" w:hAnsi="黑体" w:cs="黑体"/>
          <w:b/>
          <w:spacing w:val="-3"/>
          <w:sz w:val="28"/>
          <w:szCs w:val="28"/>
          <w:lang w:eastAsia="zh-CN"/>
        </w:rPr>
      </w:pPr>
      <w:r w:rsidRPr="009737F9">
        <w:rPr>
          <w:rFonts w:ascii="黑体" w:eastAsia="黑体" w:hAnsi="黑体" w:cs="黑体"/>
          <w:b/>
          <w:spacing w:val="-3"/>
          <w:sz w:val="28"/>
          <w:szCs w:val="28"/>
          <w:lang w:eastAsia="zh-CN"/>
        </w:rPr>
        <w:lastRenderedPageBreak/>
        <w:t>七、课程设置及教学安排</w:t>
      </w:r>
    </w:p>
    <w:p w:rsidR="0020110F" w:rsidRDefault="0041234A">
      <w:pPr>
        <w:spacing w:before="204" w:line="213" w:lineRule="auto"/>
        <w:ind w:left="3239"/>
        <w:rPr>
          <w:rFonts w:ascii="仿宋" w:eastAsia="仿宋" w:hAnsi="仿宋" w:cs="仿宋"/>
          <w:b/>
          <w:bCs/>
          <w:sz w:val="24"/>
          <w:szCs w:val="24"/>
          <w:lang w:eastAsia="zh-CN"/>
        </w:rPr>
      </w:pPr>
      <w:r>
        <w:rPr>
          <w:rFonts w:ascii="仿宋" w:eastAsia="仿宋" w:hAnsi="仿宋" w:cs="仿宋" w:hint="eastAsia"/>
          <w:b/>
          <w:bCs/>
          <w:spacing w:val="-2"/>
          <w:sz w:val="24"/>
          <w:szCs w:val="24"/>
          <w:lang w:eastAsia="zh-CN"/>
        </w:rPr>
        <w:t>公共事业管理</w:t>
      </w:r>
      <w:r w:rsidR="009737F9">
        <w:rPr>
          <w:rFonts w:ascii="仿宋" w:eastAsia="仿宋" w:hAnsi="仿宋" w:cs="仿宋" w:hint="eastAsia"/>
          <w:b/>
          <w:bCs/>
          <w:spacing w:val="-2"/>
          <w:sz w:val="24"/>
          <w:szCs w:val="24"/>
          <w:lang w:eastAsia="zh-CN"/>
        </w:rPr>
        <w:t>辅修</w:t>
      </w:r>
      <w:r>
        <w:rPr>
          <w:rFonts w:ascii="仿宋" w:eastAsia="仿宋" w:hAnsi="仿宋" w:cs="仿宋"/>
          <w:b/>
          <w:bCs/>
          <w:spacing w:val="-2"/>
          <w:sz w:val="24"/>
          <w:szCs w:val="24"/>
          <w:lang w:eastAsia="zh-CN"/>
        </w:rPr>
        <w:t>专业教学计划表</w:t>
      </w:r>
    </w:p>
    <w:tbl>
      <w:tblPr>
        <w:tblStyle w:val="TableNormal"/>
        <w:tblW w:w="9086"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72"/>
        <w:gridCol w:w="2952"/>
        <w:gridCol w:w="563"/>
        <w:gridCol w:w="529"/>
        <w:gridCol w:w="891"/>
        <w:gridCol w:w="827"/>
        <w:gridCol w:w="569"/>
        <w:gridCol w:w="573"/>
        <w:gridCol w:w="810"/>
      </w:tblGrid>
      <w:tr w:rsidR="0020110F" w:rsidRPr="000C44D6" w:rsidTr="000C44D6">
        <w:trPr>
          <w:trHeight w:val="319"/>
        </w:trPr>
        <w:tc>
          <w:tcPr>
            <w:tcW w:w="1372"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宋体" w:hint="eastAsia"/>
                <w:sz w:val="24"/>
                <w:szCs w:val="24"/>
              </w:rPr>
              <w:t>课程代码</w:t>
            </w:r>
          </w:p>
        </w:tc>
        <w:tc>
          <w:tcPr>
            <w:tcW w:w="2952"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课程名称</w:t>
            </w:r>
          </w:p>
        </w:tc>
        <w:tc>
          <w:tcPr>
            <w:tcW w:w="563"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学分</w:t>
            </w:r>
          </w:p>
        </w:tc>
        <w:tc>
          <w:tcPr>
            <w:tcW w:w="529"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总学</w:t>
            </w:r>
            <w:r w:rsidRPr="000C44D6">
              <w:rPr>
                <w:rFonts w:asciiTheme="minorEastAsia" w:eastAsiaTheme="minorEastAsia" w:hAnsiTheme="minorEastAsia"/>
                <w:sz w:val="24"/>
                <w:szCs w:val="24"/>
              </w:rPr>
              <w:t xml:space="preserve"> </w:t>
            </w:r>
            <w:r w:rsidRPr="000C44D6">
              <w:rPr>
                <w:rFonts w:asciiTheme="minorEastAsia" w:eastAsiaTheme="minorEastAsia" w:hAnsiTheme="minorEastAsia" w:cs="微软雅黑" w:hint="eastAsia"/>
                <w:sz w:val="24"/>
                <w:szCs w:val="24"/>
              </w:rPr>
              <w:t>时数</w:t>
            </w:r>
          </w:p>
        </w:tc>
        <w:tc>
          <w:tcPr>
            <w:tcW w:w="1718" w:type="dxa"/>
            <w:gridSpan w:val="2"/>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学时分配</w:t>
            </w:r>
          </w:p>
        </w:tc>
        <w:tc>
          <w:tcPr>
            <w:tcW w:w="569"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考试</w:t>
            </w:r>
            <w:r w:rsidRPr="000C44D6">
              <w:rPr>
                <w:rFonts w:asciiTheme="minorEastAsia" w:eastAsiaTheme="minorEastAsia" w:hAnsiTheme="minorEastAsia"/>
                <w:sz w:val="24"/>
                <w:szCs w:val="24"/>
              </w:rPr>
              <w:t xml:space="preserve"> </w:t>
            </w:r>
            <w:r w:rsidRPr="000C44D6">
              <w:rPr>
                <w:rFonts w:asciiTheme="minorEastAsia" w:eastAsiaTheme="minorEastAsia" w:hAnsiTheme="minorEastAsia" w:cs="微软雅黑" w:hint="eastAsia"/>
                <w:sz w:val="24"/>
                <w:szCs w:val="24"/>
              </w:rPr>
              <w:t>课程</w:t>
            </w:r>
          </w:p>
        </w:tc>
        <w:tc>
          <w:tcPr>
            <w:tcW w:w="573"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建议</w:t>
            </w:r>
            <w:r w:rsidRPr="000C44D6">
              <w:rPr>
                <w:rFonts w:asciiTheme="minorEastAsia" w:eastAsiaTheme="minorEastAsia" w:hAnsiTheme="minorEastAsia"/>
                <w:sz w:val="24"/>
                <w:szCs w:val="24"/>
              </w:rPr>
              <w:t xml:space="preserve"> </w:t>
            </w:r>
            <w:r w:rsidRPr="000C44D6">
              <w:rPr>
                <w:rFonts w:asciiTheme="minorEastAsia" w:eastAsiaTheme="minorEastAsia" w:hAnsiTheme="minorEastAsia" w:cs="微软雅黑" w:hint="eastAsia"/>
                <w:sz w:val="24"/>
                <w:szCs w:val="24"/>
              </w:rPr>
              <w:t>修读</w:t>
            </w:r>
            <w:r w:rsidRPr="000C44D6">
              <w:rPr>
                <w:rFonts w:asciiTheme="minorEastAsia" w:eastAsiaTheme="minorEastAsia" w:hAnsiTheme="minorEastAsia"/>
                <w:sz w:val="24"/>
                <w:szCs w:val="24"/>
              </w:rPr>
              <w:t xml:space="preserve"> </w:t>
            </w:r>
            <w:r w:rsidRPr="000C44D6">
              <w:rPr>
                <w:rFonts w:asciiTheme="minorEastAsia" w:eastAsiaTheme="minorEastAsia" w:hAnsiTheme="minorEastAsia" w:cs="微软雅黑" w:hint="eastAsia"/>
                <w:sz w:val="24"/>
                <w:szCs w:val="24"/>
              </w:rPr>
              <w:t>学期</w:t>
            </w:r>
          </w:p>
        </w:tc>
        <w:tc>
          <w:tcPr>
            <w:tcW w:w="810" w:type="dxa"/>
            <w:vMerge w:val="restart"/>
            <w:tcBorders>
              <w:bottom w:val="nil"/>
            </w:tcBorders>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备注</w:t>
            </w:r>
          </w:p>
        </w:tc>
      </w:tr>
      <w:tr w:rsidR="0020110F" w:rsidRPr="000C44D6" w:rsidTr="000C44D6">
        <w:trPr>
          <w:trHeight w:val="405"/>
        </w:trPr>
        <w:tc>
          <w:tcPr>
            <w:tcW w:w="1372"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2952"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563"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529"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讲授</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实践</w:t>
            </w:r>
          </w:p>
        </w:tc>
        <w:tc>
          <w:tcPr>
            <w:tcW w:w="569"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573"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c>
          <w:tcPr>
            <w:tcW w:w="810" w:type="dxa"/>
            <w:vMerge/>
            <w:tcBorders>
              <w:top w:val="nil"/>
            </w:tcBorders>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19"/>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05112055</w:t>
            </w: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管理学原理</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4</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64</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64</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39"/>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05112024</w:t>
            </w:r>
          </w:p>
        </w:tc>
        <w:tc>
          <w:tcPr>
            <w:tcW w:w="2952" w:type="dxa"/>
            <w:vAlign w:val="center"/>
          </w:tcPr>
          <w:p w:rsidR="0020110F" w:rsidRPr="000C44D6" w:rsidRDefault="002C4A95" w:rsidP="000C44D6">
            <w:pPr>
              <w:jc w:val="center"/>
              <w:rPr>
                <w:rFonts w:asciiTheme="minorEastAsia" w:eastAsiaTheme="minorEastAsia" w:hAnsiTheme="minorEastAsia"/>
                <w:sz w:val="24"/>
                <w:szCs w:val="24"/>
              </w:rPr>
            </w:pPr>
            <w:r>
              <w:rPr>
                <w:rFonts w:asciiTheme="minorEastAsia" w:eastAsiaTheme="minorEastAsia" w:hAnsiTheme="minorEastAsia" w:cs="微软雅黑" w:hint="eastAsia"/>
                <w:sz w:val="24"/>
                <w:szCs w:val="24"/>
                <w:lang w:eastAsia="zh-CN"/>
              </w:rPr>
              <w:t>公</w:t>
            </w:r>
            <w:r>
              <w:rPr>
                <w:rFonts w:asciiTheme="minorEastAsia" w:eastAsiaTheme="minorEastAsia" w:hAnsiTheme="minorEastAsia" w:cs="微软雅黑" w:hint="eastAsia"/>
                <w:sz w:val="24"/>
                <w:szCs w:val="24"/>
              </w:rPr>
              <w:t>共管理</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4</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23"/>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28112086</w:t>
            </w: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法学概论</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19"/>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28122122</w:t>
            </w:r>
          </w:p>
        </w:tc>
        <w:tc>
          <w:tcPr>
            <w:tcW w:w="2952" w:type="dxa"/>
            <w:vAlign w:val="center"/>
          </w:tcPr>
          <w:p w:rsidR="0020110F" w:rsidRPr="000C44D6" w:rsidRDefault="002C4A95"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社会保障学</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5</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484"/>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28112089</w:t>
            </w:r>
          </w:p>
        </w:tc>
        <w:tc>
          <w:tcPr>
            <w:tcW w:w="2952" w:type="dxa"/>
            <w:vAlign w:val="center"/>
          </w:tcPr>
          <w:p w:rsidR="0020110F" w:rsidRPr="000C44D6" w:rsidRDefault="002C4A95"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数字经济</w:t>
            </w:r>
          </w:p>
        </w:tc>
        <w:tc>
          <w:tcPr>
            <w:tcW w:w="563" w:type="dxa"/>
            <w:vAlign w:val="center"/>
          </w:tcPr>
          <w:p w:rsidR="0020110F" w:rsidRPr="000C44D6" w:rsidRDefault="0020110F" w:rsidP="000C44D6">
            <w:pPr>
              <w:jc w:val="center"/>
              <w:rPr>
                <w:rFonts w:asciiTheme="minorEastAsia" w:eastAsiaTheme="minorEastAsia" w:hAnsiTheme="minorEastAsia"/>
                <w:sz w:val="24"/>
                <w:szCs w:val="24"/>
              </w:rPr>
            </w:pPr>
          </w:p>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20110F" w:rsidP="000C44D6">
            <w:pPr>
              <w:jc w:val="center"/>
              <w:rPr>
                <w:rFonts w:asciiTheme="minorEastAsia" w:eastAsiaTheme="minorEastAsia" w:hAnsiTheme="minorEastAsia"/>
                <w:sz w:val="24"/>
                <w:szCs w:val="24"/>
              </w:rPr>
            </w:pPr>
          </w:p>
        </w:tc>
        <w:tc>
          <w:tcPr>
            <w:tcW w:w="573" w:type="dxa"/>
            <w:vAlign w:val="center"/>
          </w:tcPr>
          <w:p w:rsidR="0020110F" w:rsidRPr="000C44D6" w:rsidRDefault="0020110F" w:rsidP="000C44D6">
            <w:pPr>
              <w:jc w:val="center"/>
              <w:rPr>
                <w:rFonts w:asciiTheme="minorEastAsia" w:eastAsiaTheme="minorEastAsia" w:hAnsiTheme="minorEastAsia"/>
                <w:sz w:val="24"/>
                <w:szCs w:val="24"/>
              </w:rPr>
            </w:pPr>
          </w:p>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5</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48"/>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28122132</w:t>
            </w: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行政法与行政诉讼法</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27" w:type="dxa"/>
            <w:vAlign w:val="center"/>
          </w:tcPr>
          <w:p w:rsidR="0020110F" w:rsidRPr="000C44D6" w:rsidRDefault="0020110F" w:rsidP="000C44D6">
            <w:pPr>
              <w:jc w:val="center"/>
              <w:rPr>
                <w:rFonts w:asciiTheme="minorEastAsia" w:eastAsiaTheme="minorEastAsia" w:hAnsiTheme="minorEastAsia"/>
                <w:sz w:val="24"/>
                <w:szCs w:val="24"/>
              </w:rPr>
            </w:pP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7</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30"/>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28122133</w:t>
            </w: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信息安全法律基础</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32</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16</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16</w:t>
            </w: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7</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439"/>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28122138</w:t>
            </w: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知识产权管理</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32</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16</w:t>
            </w: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6</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494"/>
        </w:trPr>
        <w:tc>
          <w:tcPr>
            <w:tcW w:w="1372" w:type="dxa"/>
            <w:vAlign w:val="center"/>
          </w:tcPr>
          <w:tbl>
            <w:tblPr>
              <w:tblW w:w="25200" w:type="dxa"/>
              <w:tblLayout w:type="fixed"/>
              <w:tblCellMar>
                <w:left w:w="0" w:type="dxa"/>
                <w:right w:w="0" w:type="dxa"/>
              </w:tblCellMar>
              <w:tblLook w:val="04A0" w:firstRow="1" w:lastRow="0" w:firstColumn="1" w:lastColumn="0" w:noHBand="0" w:noVBand="1"/>
            </w:tblPr>
            <w:tblGrid>
              <w:gridCol w:w="25200"/>
            </w:tblGrid>
            <w:tr w:rsidR="0020110F" w:rsidRPr="000C44D6">
              <w:trPr>
                <w:trHeight w:val="375"/>
              </w:trPr>
              <w:tc>
                <w:tcPr>
                  <w:tcW w:w="25200" w:type="dxa"/>
                  <w:tcBorders>
                    <w:top w:val="single" w:sz="6" w:space="0" w:color="E5E5E5"/>
                    <w:left w:val="single" w:sz="6" w:space="0" w:color="E5E5E5"/>
                    <w:bottom w:val="single" w:sz="6" w:space="0" w:color="E5E5E5"/>
                    <w:right w:val="single" w:sz="6" w:space="0" w:color="E5E5E5"/>
                  </w:tcBorders>
                  <w:shd w:val="clear" w:color="auto" w:fill="auto"/>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28122143</w:t>
                  </w:r>
                </w:p>
              </w:tc>
            </w:tr>
          </w:tbl>
          <w:p w:rsidR="0020110F" w:rsidRPr="000C44D6" w:rsidRDefault="0020110F" w:rsidP="000C44D6">
            <w:pPr>
              <w:jc w:val="center"/>
              <w:rPr>
                <w:rFonts w:asciiTheme="minorEastAsia" w:eastAsiaTheme="minorEastAsia" w:hAnsiTheme="minorEastAsia"/>
                <w:sz w:val="24"/>
                <w:szCs w:val="24"/>
              </w:rPr>
            </w:pPr>
          </w:p>
        </w:tc>
        <w:tc>
          <w:tcPr>
            <w:tcW w:w="295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微软雅黑" w:hint="eastAsia"/>
                <w:sz w:val="24"/>
                <w:szCs w:val="24"/>
              </w:rPr>
              <w:t>企业合规管理</w:t>
            </w:r>
          </w:p>
        </w:tc>
        <w:tc>
          <w:tcPr>
            <w:tcW w:w="563" w:type="dxa"/>
            <w:vAlign w:val="center"/>
          </w:tcPr>
          <w:p w:rsidR="0020110F" w:rsidRPr="000C44D6" w:rsidRDefault="0020110F" w:rsidP="000C44D6">
            <w:pPr>
              <w:jc w:val="center"/>
              <w:rPr>
                <w:rFonts w:asciiTheme="minorEastAsia" w:eastAsiaTheme="minorEastAsia" w:hAnsiTheme="minorEastAsia"/>
                <w:sz w:val="24"/>
                <w:szCs w:val="24"/>
              </w:rPr>
            </w:pPr>
          </w:p>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32</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16</w:t>
            </w:r>
          </w:p>
        </w:tc>
        <w:tc>
          <w:tcPr>
            <w:tcW w:w="569" w:type="dxa"/>
            <w:vAlign w:val="center"/>
          </w:tcPr>
          <w:p w:rsidR="0020110F" w:rsidRPr="000C44D6" w:rsidRDefault="0020110F" w:rsidP="000C44D6">
            <w:pPr>
              <w:jc w:val="center"/>
              <w:rPr>
                <w:rFonts w:asciiTheme="minorEastAsia" w:eastAsiaTheme="minorEastAsia" w:hAnsiTheme="minorEastAsia"/>
                <w:sz w:val="24"/>
                <w:szCs w:val="24"/>
              </w:rPr>
            </w:pPr>
          </w:p>
        </w:tc>
        <w:tc>
          <w:tcPr>
            <w:tcW w:w="573" w:type="dxa"/>
            <w:vAlign w:val="center"/>
          </w:tcPr>
          <w:p w:rsidR="0020110F" w:rsidRPr="000C44D6" w:rsidRDefault="0020110F" w:rsidP="000C44D6">
            <w:pPr>
              <w:jc w:val="center"/>
              <w:rPr>
                <w:rFonts w:asciiTheme="minorEastAsia" w:eastAsiaTheme="minorEastAsia" w:hAnsiTheme="minorEastAsia"/>
                <w:sz w:val="24"/>
                <w:szCs w:val="24"/>
              </w:rPr>
            </w:pPr>
          </w:p>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8</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519"/>
        </w:trPr>
        <w:tc>
          <w:tcPr>
            <w:tcW w:w="1372"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28122136</w:t>
            </w:r>
          </w:p>
        </w:tc>
        <w:tc>
          <w:tcPr>
            <w:tcW w:w="2952" w:type="dxa"/>
            <w:vAlign w:val="center"/>
          </w:tcPr>
          <w:p w:rsidR="0020110F" w:rsidRPr="000C44D6" w:rsidRDefault="0041234A" w:rsidP="000C44D6">
            <w:pPr>
              <w:jc w:val="center"/>
              <w:rPr>
                <w:rFonts w:asciiTheme="minorEastAsia" w:eastAsiaTheme="minorEastAsia" w:hAnsiTheme="minorEastAsia"/>
                <w:sz w:val="24"/>
                <w:szCs w:val="24"/>
                <w:lang w:eastAsia="zh-CN"/>
              </w:rPr>
            </w:pPr>
            <w:r w:rsidRPr="000C44D6">
              <w:rPr>
                <w:rFonts w:asciiTheme="minorEastAsia" w:eastAsiaTheme="minorEastAsia" w:hAnsiTheme="minorEastAsia" w:cs="微软雅黑" w:hint="eastAsia"/>
                <w:sz w:val="24"/>
                <w:szCs w:val="24"/>
                <w:lang w:eastAsia="zh-CN"/>
              </w:rPr>
              <w:t>国家公务员制度与管理</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48</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32</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16</w:t>
            </w:r>
          </w:p>
        </w:tc>
        <w:tc>
          <w:tcPr>
            <w:tcW w:w="56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w:t>
            </w:r>
          </w:p>
        </w:tc>
        <w:tc>
          <w:tcPr>
            <w:tcW w:w="57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8</w:t>
            </w: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r w:rsidR="0020110F" w:rsidRPr="000C44D6" w:rsidTr="000C44D6">
        <w:trPr>
          <w:trHeight w:val="345"/>
        </w:trPr>
        <w:tc>
          <w:tcPr>
            <w:tcW w:w="4324" w:type="dxa"/>
            <w:gridSpan w:val="2"/>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cs="宋体" w:hint="eastAsia"/>
                <w:sz w:val="24"/>
                <w:szCs w:val="24"/>
              </w:rPr>
              <w:t>合计</w:t>
            </w:r>
          </w:p>
        </w:tc>
        <w:tc>
          <w:tcPr>
            <w:tcW w:w="563"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30</w:t>
            </w:r>
          </w:p>
        </w:tc>
        <w:tc>
          <w:tcPr>
            <w:tcW w:w="529"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480</w:t>
            </w:r>
          </w:p>
        </w:tc>
        <w:tc>
          <w:tcPr>
            <w:tcW w:w="891"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sz w:val="24"/>
                <w:szCs w:val="24"/>
              </w:rPr>
              <w:t>4</w:t>
            </w:r>
            <w:r w:rsidRPr="000C44D6">
              <w:rPr>
                <w:rFonts w:asciiTheme="minorEastAsia" w:eastAsiaTheme="minorEastAsia" w:hAnsiTheme="minorEastAsia" w:hint="eastAsia"/>
                <w:sz w:val="24"/>
                <w:szCs w:val="24"/>
              </w:rPr>
              <w:t>16</w:t>
            </w:r>
          </w:p>
        </w:tc>
        <w:tc>
          <w:tcPr>
            <w:tcW w:w="827" w:type="dxa"/>
            <w:vAlign w:val="center"/>
          </w:tcPr>
          <w:p w:rsidR="0020110F" w:rsidRPr="000C44D6" w:rsidRDefault="0041234A" w:rsidP="000C44D6">
            <w:pPr>
              <w:jc w:val="center"/>
              <w:rPr>
                <w:rFonts w:asciiTheme="minorEastAsia" w:eastAsiaTheme="minorEastAsia" w:hAnsiTheme="minorEastAsia"/>
                <w:sz w:val="24"/>
                <w:szCs w:val="24"/>
              </w:rPr>
            </w:pPr>
            <w:r w:rsidRPr="000C44D6">
              <w:rPr>
                <w:rFonts w:asciiTheme="minorEastAsia" w:eastAsiaTheme="minorEastAsia" w:hAnsiTheme="minorEastAsia" w:hint="eastAsia"/>
                <w:sz w:val="24"/>
                <w:szCs w:val="24"/>
              </w:rPr>
              <w:t>64</w:t>
            </w:r>
          </w:p>
        </w:tc>
        <w:tc>
          <w:tcPr>
            <w:tcW w:w="569" w:type="dxa"/>
            <w:vAlign w:val="center"/>
          </w:tcPr>
          <w:p w:rsidR="0020110F" w:rsidRPr="000C44D6" w:rsidRDefault="0020110F" w:rsidP="000C44D6">
            <w:pPr>
              <w:jc w:val="center"/>
              <w:rPr>
                <w:rFonts w:asciiTheme="minorEastAsia" w:eastAsiaTheme="minorEastAsia" w:hAnsiTheme="minorEastAsia"/>
                <w:sz w:val="24"/>
                <w:szCs w:val="24"/>
              </w:rPr>
            </w:pPr>
          </w:p>
        </w:tc>
        <w:tc>
          <w:tcPr>
            <w:tcW w:w="573" w:type="dxa"/>
            <w:vAlign w:val="center"/>
          </w:tcPr>
          <w:p w:rsidR="0020110F" w:rsidRPr="000C44D6" w:rsidRDefault="0020110F" w:rsidP="000C44D6">
            <w:pPr>
              <w:jc w:val="center"/>
              <w:rPr>
                <w:rFonts w:asciiTheme="minorEastAsia" w:eastAsiaTheme="minorEastAsia" w:hAnsiTheme="minorEastAsia"/>
                <w:sz w:val="24"/>
                <w:szCs w:val="24"/>
              </w:rPr>
            </w:pPr>
          </w:p>
        </w:tc>
        <w:tc>
          <w:tcPr>
            <w:tcW w:w="810" w:type="dxa"/>
            <w:vAlign w:val="center"/>
          </w:tcPr>
          <w:p w:rsidR="0020110F" w:rsidRPr="000C44D6" w:rsidRDefault="0020110F" w:rsidP="000C44D6">
            <w:pPr>
              <w:jc w:val="center"/>
              <w:rPr>
                <w:rFonts w:asciiTheme="minorEastAsia" w:eastAsiaTheme="minorEastAsia" w:hAnsiTheme="minorEastAsia"/>
                <w:sz w:val="24"/>
                <w:szCs w:val="24"/>
              </w:rPr>
            </w:pPr>
          </w:p>
        </w:tc>
      </w:tr>
    </w:tbl>
    <w:p w:rsidR="0020110F" w:rsidRDefault="0041234A">
      <w:pPr>
        <w:kinsoku/>
        <w:autoSpaceDE/>
        <w:autoSpaceDN/>
        <w:adjustRightInd/>
        <w:snapToGrid/>
        <w:spacing w:line="360" w:lineRule="auto"/>
        <w:ind w:leftChars="8" w:left="17" w:firstLineChars="200" w:firstLine="480"/>
        <w:textAlignment w:val="auto"/>
        <w:rPr>
          <w:rFonts w:ascii="宋体" w:eastAsia="宋体" w:hAnsi="宋体" w:cs="Times New Roman"/>
          <w:snapToGrid/>
          <w:kern w:val="2"/>
          <w:sz w:val="24"/>
          <w:szCs w:val="24"/>
          <w:lang w:eastAsia="zh-CN"/>
        </w:rPr>
      </w:pPr>
      <w:r>
        <w:rPr>
          <w:rFonts w:ascii="宋体" w:eastAsia="宋体" w:hAnsi="宋体" w:cs="Times New Roman" w:hint="eastAsia"/>
          <w:snapToGrid/>
          <w:kern w:val="2"/>
          <w:sz w:val="24"/>
          <w:szCs w:val="24"/>
          <w:lang w:eastAsia="zh-CN"/>
        </w:rPr>
        <w:t>注：建议修读学期从第 3 学期开始，至第 8 学期止。</w:t>
      </w:r>
    </w:p>
    <w:p w:rsidR="0020110F" w:rsidRPr="009737F9" w:rsidRDefault="009737F9" w:rsidP="009737F9">
      <w:pPr>
        <w:kinsoku/>
        <w:autoSpaceDE/>
        <w:autoSpaceDN/>
        <w:adjustRightInd/>
        <w:snapToGrid/>
        <w:spacing w:line="440" w:lineRule="exact"/>
        <w:textAlignment w:val="auto"/>
        <w:rPr>
          <w:rFonts w:ascii="黑体" w:eastAsia="黑体" w:hAnsi="黑体" w:cs="黑体"/>
          <w:b/>
          <w:spacing w:val="-3"/>
          <w:sz w:val="28"/>
          <w:szCs w:val="28"/>
          <w:lang w:eastAsia="zh-CN"/>
        </w:rPr>
      </w:pPr>
      <w:r>
        <w:rPr>
          <w:rFonts w:ascii="黑体" w:eastAsia="黑体" w:hAnsi="黑体" w:cs="黑体"/>
          <w:b/>
          <w:spacing w:val="-3"/>
          <w:sz w:val="28"/>
          <w:szCs w:val="28"/>
          <w:lang w:eastAsia="zh-CN"/>
        </w:rPr>
        <w:t>八、</w:t>
      </w:r>
      <w:r w:rsidR="0041234A" w:rsidRPr="009737F9">
        <w:rPr>
          <w:rFonts w:ascii="黑体" w:eastAsia="黑体" w:hAnsi="黑体" w:cs="黑体"/>
          <w:b/>
          <w:spacing w:val="-3"/>
          <w:sz w:val="28"/>
          <w:szCs w:val="28"/>
          <w:lang w:eastAsia="zh-CN"/>
        </w:rPr>
        <w:t>其他说明</w:t>
      </w:r>
    </w:p>
    <w:p w:rsidR="0020110F" w:rsidRDefault="0041234A">
      <w:pPr>
        <w:kinsoku/>
        <w:autoSpaceDE/>
        <w:autoSpaceDN/>
        <w:adjustRightInd/>
        <w:snapToGrid/>
        <w:spacing w:line="360" w:lineRule="auto"/>
        <w:ind w:leftChars="8" w:left="17" w:firstLineChars="200" w:firstLine="480"/>
        <w:textAlignment w:val="auto"/>
        <w:rPr>
          <w:rFonts w:ascii="宋体" w:eastAsia="宋体" w:hAnsi="宋体" w:cs="Times New Roman"/>
          <w:snapToGrid/>
          <w:kern w:val="2"/>
          <w:sz w:val="24"/>
          <w:szCs w:val="24"/>
          <w:lang w:eastAsia="zh-CN"/>
        </w:rPr>
      </w:pPr>
      <w:r>
        <w:rPr>
          <w:rFonts w:ascii="宋体" w:eastAsia="宋体" w:hAnsi="宋体" w:cs="Times New Roman" w:hint="eastAsia"/>
          <w:snapToGrid/>
          <w:kern w:val="2"/>
          <w:sz w:val="24"/>
          <w:szCs w:val="24"/>
          <w:lang w:eastAsia="zh-CN"/>
        </w:rPr>
        <w:t>（一）辅修课程取得的学分，是学生主修专业教学计划以外的学分，不能替代主修专业学分；</w:t>
      </w:r>
    </w:p>
    <w:p w:rsidR="0020110F" w:rsidRDefault="0041234A">
      <w:pPr>
        <w:kinsoku/>
        <w:autoSpaceDE/>
        <w:autoSpaceDN/>
        <w:adjustRightInd/>
        <w:snapToGrid/>
        <w:spacing w:line="360" w:lineRule="auto"/>
        <w:ind w:leftChars="8" w:left="17" w:firstLineChars="200" w:firstLine="480"/>
        <w:textAlignment w:val="auto"/>
        <w:rPr>
          <w:rFonts w:ascii="宋体" w:eastAsia="宋体" w:hAnsi="宋体" w:cs="Times New Roman"/>
          <w:snapToGrid/>
          <w:kern w:val="2"/>
          <w:sz w:val="24"/>
          <w:szCs w:val="24"/>
          <w:lang w:eastAsia="zh-CN"/>
        </w:rPr>
      </w:pPr>
      <w:r>
        <w:rPr>
          <w:rFonts w:ascii="宋体" w:eastAsia="宋体" w:hAnsi="宋体" w:cs="Times New Roman" w:hint="eastAsia"/>
          <w:snapToGrid/>
          <w:kern w:val="2"/>
          <w:sz w:val="24"/>
          <w:szCs w:val="24"/>
          <w:lang w:eastAsia="zh-CN"/>
        </w:rPr>
        <w:t>（二）若主修专业和辅修专业的课程考试出现冲突时，学生应向辅修专业学院申请缓考，缓考课程的考核与该课程补考同时进行，且不能再申请缓考；</w:t>
      </w:r>
    </w:p>
    <w:p w:rsidR="0020110F" w:rsidRDefault="0041234A">
      <w:pPr>
        <w:kinsoku/>
        <w:autoSpaceDE/>
        <w:autoSpaceDN/>
        <w:adjustRightInd/>
        <w:snapToGrid/>
        <w:spacing w:line="360" w:lineRule="auto"/>
        <w:ind w:leftChars="8" w:left="17" w:firstLineChars="200" w:firstLine="480"/>
        <w:textAlignment w:val="auto"/>
        <w:rPr>
          <w:rFonts w:ascii="宋体" w:eastAsia="宋体" w:hAnsi="宋体" w:cs="Times New Roman"/>
          <w:snapToGrid/>
          <w:kern w:val="2"/>
          <w:sz w:val="24"/>
          <w:szCs w:val="24"/>
          <w:lang w:eastAsia="zh-CN"/>
        </w:rPr>
      </w:pPr>
      <w:r>
        <w:rPr>
          <w:rFonts w:ascii="宋体" w:eastAsia="宋体" w:hAnsi="宋体" w:cs="Times New Roman" w:hint="eastAsia"/>
          <w:snapToGrid/>
          <w:kern w:val="2"/>
          <w:sz w:val="24"/>
          <w:szCs w:val="24"/>
          <w:lang w:eastAsia="zh-CN"/>
        </w:rPr>
        <w:t>（三）辅修专业课程考试不及格，可参加一次补考，补考仍不及格可参加重修。</w:t>
      </w:r>
    </w:p>
    <w:sectPr w:rsidR="0020110F">
      <w:footerReference w:type="default" r:id="rId8"/>
      <w:pgSz w:w="11906" w:h="16839"/>
      <w:pgMar w:top="1431" w:right="1412" w:bottom="1151" w:left="1411" w:header="0" w:footer="9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793" w:rsidRDefault="00737793">
      <w:r>
        <w:separator/>
      </w:r>
    </w:p>
  </w:endnote>
  <w:endnote w:type="continuationSeparator" w:id="0">
    <w:p w:rsidR="00737793" w:rsidRDefault="0073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10F" w:rsidRDefault="0020110F">
    <w:pPr>
      <w:spacing w:line="176" w:lineRule="auto"/>
      <w:ind w:left="4126"/>
      <w:rPr>
        <w:rFonts w:ascii="Times New Roman" w:eastAsia="Times New Roman" w:hAnsi="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10F" w:rsidRDefault="0020110F">
    <w:pPr>
      <w:spacing w:line="176" w:lineRule="auto"/>
      <w:ind w:left="4454"/>
      <w:rPr>
        <w:rFonts w:ascii="Times New Roman" w:eastAsia="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793" w:rsidRDefault="00737793">
      <w:r>
        <w:separator/>
      </w:r>
    </w:p>
  </w:footnote>
  <w:footnote w:type="continuationSeparator" w:id="0">
    <w:p w:rsidR="00737793" w:rsidRDefault="00737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808F32"/>
    <w:multiLevelType w:val="singleLevel"/>
    <w:tmpl w:val="BD808F32"/>
    <w:lvl w:ilvl="0">
      <w:start w:val="8"/>
      <w:numFmt w:val="chineseCounting"/>
      <w:suff w:val="nothing"/>
      <w:lvlText w:val="%1、"/>
      <w:lvlJc w:val="left"/>
      <w:rPr>
        <w:rFonts w:hint="eastAsia"/>
      </w:rPr>
    </w:lvl>
  </w:abstractNum>
  <w:abstractNum w:abstractNumId="1">
    <w:nsid w:val="64D2DF3D"/>
    <w:multiLevelType w:val="singleLevel"/>
    <w:tmpl w:val="64D2DF3D"/>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jVkMWE0MGM0NDdhMTAyODdjOGIyYzVmMzBhMmJkNDgifQ=="/>
  </w:docVars>
  <w:rsids>
    <w:rsidRoot w:val="0020110F"/>
    <w:rsid w:val="000C44D6"/>
    <w:rsid w:val="0020110F"/>
    <w:rsid w:val="002C4A95"/>
    <w:rsid w:val="0041234A"/>
    <w:rsid w:val="0073117C"/>
    <w:rsid w:val="00737793"/>
    <w:rsid w:val="007552B4"/>
    <w:rsid w:val="009737F9"/>
    <w:rsid w:val="009D5C90"/>
    <w:rsid w:val="00B624E4"/>
    <w:rsid w:val="00CA336C"/>
    <w:rsid w:val="00D25FA3"/>
    <w:rsid w:val="17A95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86370-E8BD-4626-A979-0FAD2494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Times New Roman" w:eastAsia="Times New Roman" w:hAnsi="Times New Roman" w:cs="Times New Roman"/>
      <w:sz w:val="20"/>
      <w:szCs w:val="20"/>
    </w:rPr>
  </w:style>
  <w:style w:type="paragraph" w:styleId="a4">
    <w:name w:val="header"/>
    <w:basedOn w:val="a"/>
    <w:link w:val="Char"/>
    <w:rsid w:val="00CA336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CA336C"/>
    <w:rPr>
      <w:rFonts w:ascii="Arial" w:eastAsia="Arial" w:hAnsi="Arial" w:cs="Arial"/>
      <w:snapToGrid w:val="0"/>
      <w:color w:val="000000"/>
      <w:sz w:val="18"/>
      <w:szCs w:val="18"/>
      <w:lang w:eastAsia="en-US"/>
    </w:rPr>
  </w:style>
  <w:style w:type="paragraph" w:styleId="a5">
    <w:name w:val="footer"/>
    <w:basedOn w:val="a"/>
    <w:link w:val="Char0"/>
    <w:rsid w:val="00CA336C"/>
    <w:pPr>
      <w:tabs>
        <w:tab w:val="center" w:pos="4153"/>
        <w:tab w:val="right" w:pos="8306"/>
      </w:tabs>
    </w:pPr>
    <w:rPr>
      <w:sz w:val="18"/>
      <w:szCs w:val="18"/>
    </w:rPr>
  </w:style>
  <w:style w:type="character" w:customStyle="1" w:styleId="Char0">
    <w:name w:val="页脚 Char"/>
    <w:basedOn w:val="a0"/>
    <w:link w:val="a5"/>
    <w:rsid w:val="00CA336C"/>
    <w:rPr>
      <w:rFonts w:ascii="Arial" w:eastAsia="Arial" w:hAnsi="Arial" w:cs="Arial"/>
      <w:snapToGrid w:val="0"/>
      <w:color w:val="000000"/>
      <w:sz w:val="18"/>
      <w:szCs w:val="18"/>
      <w:lang w:eastAsia="en-US"/>
    </w:rPr>
  </w:style>
  <w:style w:type="character" w:styleId="a6">
    <w:name w:val="Strong"/>
    <w:uiPriority w:val="22"/>
    <w:qFormat/>
    <w:rsid w:val="007552B4"/>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242</Words>
  <Characters>1385</Characters>
  <Application>Microsoft Office Word</Application>
  <DocSecurity>0</DocSecurity>
  <Lines>11</Lines>
  <Paragraphs>3</Paragraphs>
  <ScaleCrop>false</ScaleCrop>
  <Company>HP Inc.</Company>
  <LinksUpToDate>false</LinksUpToDate>
  <CharactersWithSpaces>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淡然回眸</dc:creator>
  <cp:lastModifiedBy>HP</cp:lastModifiedBy>
  <cp:revision>8</cp:revision>
  <dcterms:created xsi:type="dcterms:W3CDTF">2024-05-06T10:39:00Z</dcterms:created>
  <dcterms:modified xsi:type="dcterms:W3CDTF">2024-07-24T03:53:00Z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2024-07-24T08:40:38Z</vt:filetime>
  </property>
  <property fmtid="{D5CDD505-2E9C-101B-9397-08002B2CF9AE}" pid="4" name="KSOProductBuildVer">
    <vt:lpwstr>2052-12.1.0.17147</vt:lpwstr>
  </property>
  <property fmtid="{D5CDD505-2E9C-101B-9397-08002B2CF9AE}" pid="5" name="ICV">
    <vt:lpwstr>3DBB7FC96DBD43C391575CC189E28270_13</vt:lpwstr>
  </property>
</Properties>
</file>