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BC4A1D">
      <w:pPr>
        <w:spacing w:line="700" w:lineRule="exact"/>
        <w:jc w:val="center"/>
        <w:rPr>
          <w:rFonts w:ascii="方正小标宋_GBK" w:hAnsi="Times New Roman" w:eastAsia="方正小标宋_GBK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Times New Roman" w:eastAsia="方正小标宋_GBK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化学化工学院</w:t>
      </w:r>
    </w:p>
    <w:p w14:paraId="26743246">
      <w:pPr>
        <w:spacing w:line="700" w:lineRule="exact"/>
        <w:jc w:val="center"/>
        <w:rPr>
          <w:rFonts w:ascii="方正小标宋_GBK" w:hAnsi="Times New Roman" w:eastAsia="方正小标宋_GBK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Times New Roman" w:eastAsia="方正小标宋_GBK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方正小标宋_GBK" w:hAnsi="Times New Roman" w:eastAsia="方正小标宋_GBK"/>
          <w:b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方正小标宋_GBK" w:hAnsi="Times New Roman" w:eastAsia="方正小标宋_GBK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年秋期转专业工作实施方案</w:t>
      </w:r>
    </w:p>
    <w:p w14:paraId="52B964F2">
      <w:pPr>
        <w:spacing w:line="560" w:lineRule="exact"/>
        <w:jc w:val="center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022449AE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根据《长江师范学院学生转专业管理办法（修订）》（长师院发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〔2021〕124号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）相关规定，结合学院实际，特制定本方案，确保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级大一学生202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秋期转专业工作规范有序开展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356DA261">
      <w:pPr>
        <w:pStyle w:val="9"/>
        <w:spacing w:line="560" w:lineRule="exact"/>
        <w:ind w:firstLine="640"/>
        <w:jc w:val="left"/>
        <w:rPr>
          <w:rFonts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一、组织机构及职责</w:t>
      </w:r>
    </w:p>
    <w:p w14:paraId="49FB3D4D">
      <w:pPr>
        <w:tabs>
          <w:tab w:val="center" w:pos="4415"/>
        </w:tabs>
        <w:snapToGrid w:val="0"/>
        <w:spacing w:line="560" w:lineRule="exact"/>
        <w:ind w:firstLine="809" w:firstLineChars="253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学院成立转专业工作小组，负责处理转专业相关工作。</w:t>
      </w:r>
    </w:p>
    <w:p w14:paraId="466B998D">
      <w:pPr>
        <w:tabs>
          <w:tab w:val="center" w:pos="4415"/>
        </w:tabs>
        <w:snapToGrid w:val="0"/>
        <w:spacing w:line="560" w:lineRule="exact"/>
        <w:ind w:firstLine="809" w:firstLineChars="253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组 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长：黄辉胜</w:t>
      </w:r>
    </w:p>
    <w:p w14:paraId="28EE8340">
      <w:pPr>
        <w:tabs>
          <w:tab w:val="center" w:pos="4415"/>
        </w:tabs>
        <w:snapToGrid w:val="0"/>
        <w:spacing w:line="560" w:lineRule="exact"/>
        <w:ind w:firstLine="809" w:firstLineChars="253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副组长：曹团武</w:t>
      </w:r>
    </w:p>
    <w:p w14:paraId="612DFD99">
      <w:pPr>
        <w:tabs>
          <w:tab w:val="center" w:pos="4415"/>
        </w:tabs>
        <w:snapToGrid w:val="0"/>
        <w:spacing w:line="560" w:lineRule="exact"/>
        <w:ind w:firstLine="809" w:firstLineChars="253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成 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员：高枫、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董文飞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、靳斌斌、苟铨、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黎兰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、王彬雪</w:t>
      </w:r>
    </w:p>
    <w:p w14:paraId="3C66BE22">
      <w:pPr>
        <w:adjustRightInd w:val="0"/>
        <w:snapToGrid w:val="0"/>
        <w:spacing w:line="560" w:lineRule="exact"/>
        <w:ind w:firstLine="640" w:firstLineChars="200"/>
        <w:jc w:val="left"/>
        <w:rPr>
          <w:rFonts w:eastAsia="方正仿宋_GBK"/>
          <w:kern w:val="0"/>
          <w:sz w:val="32"/>
          <w:szCs w:val="32"/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主要职责：负责</w:t>
      </w:r>
      <w:r>
        <w:rPr>
          <w:rFonts w:eastAsia="方正仿宋_GBK"/>
          <w:kern w:val="0"/>
          <w:sz w:val="32"/>
          <w:szCs w:val="32"/>
        </w:rPr>
        <w:t>拟订本学院转专业工作方案、接收学生转专业咨询、审核转出学生申请资格、组织考核以及提出拟转入学生名单、受理转专业异议等工作。</w:t>
      </w:r>
    </w:p>
    <w:p w14:paraId="4C98F93D">
      <w:pPr>
        <w:pStyle w:val="9"/>
        <w:spacing w:line="560" w:lineRule="exact"/>
        <w:ind w:firstLine="809" w:firstLineChars="253"/>
        <w:jc w:val="left"/>
        <w:rPr>
          <w:rFonts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二、转专业条件</w:t>
      </w:r>
    </w:p>
    <w:p w14:paraId="239E7FAA">
      <w:pPr>
        <w:tabs>
          <w:tab w:val="center" w:pos="4415"/>
        </w:tabs>
        <w:snapToGrid w:val="0"/>
        <w:spacing w:line="560" w:lineRule="exact"/>
        <w:ind w:firstLine="708" w:firstLineChars="221"/>
        <w:jc w:val="left"/>
        <w:rPr>
          <w:rFonts w:ascii="方正楷体_GBK" w:hAnsi="Times New Roman" w:eastAsia="方正楷体_GBK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楷体_GBK" w:hAnsi="Times New Roman" w:eastAsia="方正楷体_GBK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1．化学专业转入条件</w:t>
      </w:r>
    </w:p>
    <w:p w14:paraId="129462D2">
      <w:pPr>
        <w:tabs>
          <w:tab w:val="center" w:pos="4415"/>
        </w:tabs>
        <w:snapToGrid w:val="0"/>
        <w:spacing w:line="560" w:lineRule="exact"/>
        <w:ind w:firstLine="707" w:firstLineChars="221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一是符合《学生转专业管理办法（修订）》（</w:t>
      </w:r>
      <w:bookmarkStart w:id="0" w:name="公文文号"/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长师院发 〔2021〕124号</w:t>
      </w:r>
      <w:bookmarkEnd w:id="0"/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）的转专业条件（第六条）；</w:t>
      </w:r>
    </w:p>
    <w:p w14:paraId="619FBF65">
      <w:pPr>
        <w:pStyle w:val="9"/>
        <w:spacing w:line="560" w:lineRule="exact"/>
        <w:ind w:firstLine="707" w:firstLineChars="221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二是</w:t>
      </w:r>
      <w:r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转入学生的高考选科及单科分数要求。3+1+2考生，首选科目物理，再选科目包含化学，且高考化学得分率不低于70%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；</w:t>
      </w:r>
      <w:r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其他类考生，需为理科类，理综得分率不低于70%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；</w:t>
      </w:r>
    </w:p>
    <w:p w14:paraId="487E6CDE">
      <w:pPr>
        <w:pStyle w:val="9"/>
        <w:spacing w:line="560" w:lineRule="exact"/>
        <w:ind w:firstLine="640"/>
        <w:jc w:val="left"/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</w:t>
      </w:r>
      <w:r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是202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年秋期必须学高等数学（或者经济数学等其他可以和高等数学A3互换的课程）。</w:t>
      </w:r>
    </w:p>
    <w:p w14:paraId="35235F0F">
      <w:pPr>
        <w:tabs>
          <w:tab w:val="center" w:pos="4415"/>
        </w:tabs>
        <w:snapToGrid w:val="0"/>
        <w:spacing w:line="560" w:lineRule="exact"/>
        <w:ind w:firstLine="708" w:firstLineChars="221"/>
        <w:jc w:val="left"/>
        <w:rPr>
          <w:rFonts w:ascii="方正楷体_GBK" w:hAnsi="Times New Roman" w:eastAsia="方正楷体_GBK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楷体_GBK" w:hAnsi="Times New Roman" w:eastAsia="方正楷体_GBK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ascii="方正楷体_GBK" w:hAnsi="Times New Roman" w:eastAsia="方正楷体_GBK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Times New Roman" w:eastAsia="方正楷体_GBK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化学工程与工艺转入条件</w:t>
      </w:r>
    </w:p>
    <w:p w14:paraId="29029732">
      <w:pPr>
        <w:pStyle w:val="9"/>
        <w:spacing w:line="560" w:lineRule="exact"/>
        <w:ind w:firstLine="640"/>
        <w:jc w:val="left"/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一是符合《学生转专业管理办法（修订）》（长师院发 〔2021〕</w:t>
      </w:r>
      <w:bookmarkStart w:id="1" w:name="_GoBack"/>
      <w:bookmarkEnd w:id="1"/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124号）的转专业条件（第六条）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；</w:t>
      </w:r>
    </w:p>
    <w:p w14:paraId="636F1D59">
      <w:pPr>
        <w:pStyle w:val="9"/>
        <w:spacing w:line="560" w:lineRule="exact"/>
        <w:ind w:firstLine="640"/>
        <w:jc w:val="left"/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二是转入学生的高考选科及单科分数要求。高考科目必须包含化学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即3+1+2考生，首选科目物理，再选科目包含化学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；</w:t>
      </w:r>
      <w:r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其他类考生，需为理科类。</w:t>
      </w:r>
    </w:p>
    <w:p w14:paraId="777F0D34">
      <w:pPr>
        <w:tabs>
          <w:tab w:val="center" w:pos="4415"/>
        </w:tabs>
        <w:snapToGrid w:val="0"/>
        <w:spacing w:line="560" w:lineRule="exact"/>
        <w:ind w:firstLine="708" w:firstLineChars="221"/>
        <w:jc w:val="left"/>
        <w:rPr>
          <w:rFonts w:ascii="方正楷体_GBK" w:hAnsi="Times New Roman" w:eastAsia="方正楷体_GBK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方正楷体_GBK" w:hAnsi="Times New Roman" w:eastAsia="方正楷体_GBK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3.制药工程专业转入条件</w:t>
      </w:r>
    </w:p>
    <w:p w14:paraId="7C0D4DB4">
      <w:pPr>
        <w:pStyle w:val="4"/>
        <w:widowControl/>
        <w:ind w:firstLine="640" w:firstLineChars="200"/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一是符合《学生转专业管理办法(修订)》(长师院发〔2021〕124号)的转专业条件(第六条)；</w:t>
      </w:r>
    </w:p>
    <w:p w14:paraId="17D2AA6B">
      <w:pPr>
        <w:pStyle w:val="4"/>
        <w:widowControl/>
        <w:ind w:firstLine="640" w:firstLineChars="200"/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二是</w:t>
      </w:r>
      <w:r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转入学生的高考选科及单科分数要求。3+1+2考生，首选科目物理，再选科目包含化学，且高考化学得分率不低于70%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；</w:t>
      </w:r>
      <w:r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其他类考生，需为理科类，理综得分率不低于70%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160CCB43">
      <w:pPr>
        <w:pStyle w:val="9"/>
        <w:spacing w:line="560" w:lineRule="exact"/>
        <w:ind w:firstLine="809" w:firstLineChars="253"/>
        <w:jc w:val="left"/>
        <w:rPr>
          <w:rFonts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三、接收专业及计划</w:t>
      </w:r>
    </w:p>
    <w:tbl>
      <w:tblPr>
        <w:tblStyle w:val="5"/>
        <w:tblW w:w="8987" w:type="dxa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9"/>
        <w:gridCol w:w="2524"/>
        <w:gridCol w:w="1154"/>
        <w:gridCol w:w="1433"/>
        <w:gridCol w:w="850"/>
        <w:gridCol w:w="709"/>
        <w:gridCol w:w="948"/>
      </w:tblGrid>
      <w:tr w14:paraId="37A54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03DE7806">
            <w:pPr>
              <w:widowControl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校内专</w:t>
            </w:r>
          </w:p>
          <w:p w14:paraId="08AF37E1">
            <w:pPr>
              <w:widowControl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业代码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44FF60F8">
            <w:pPr>
              <w:widowControl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专业名称</w:t>
            </w:r>
          </w:p>
        </w:tc>
        <w:tc>
          <w:tcPr>
            <w:tcW w:w="1154" w:type="dxa"/>
            <w:shd w:val="clear" w:color="auto" w:fill="auto"/>
            <w:noWrap/>
            <w:vAlign w:val="center"/>
          </w:tcPr>
          <w:p w14:paraId="1437E6B5">
            <w:pPr>
              <w:widowControl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专业方向</w:t>
            </w:r>
          </w:p>
        </w:tc>
        <w:tc>
          <w:tcPr>
            <w:tcW w:w="1433" w:type="dxa"/>
            <w:shd w:val="clear" w:color="auto" w:fill="auto"/>
            <w:noWrap/>
            <w:vAlign w:val="center"/>
          </w:tcPr>
          <w:p w14:paraId="3F9A74B6">
            <w:pPr>
              <w:widowControl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专业类别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237C447C">
            <w:pPr>
              <w:widowControl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715BFEC5">
            <w:pPr>
              <w:widowControl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是否大类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7149AE78">
            <w:pPr>
              <w:widowControl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接收转</w:t>
            </w:r>
          </w:p>
          <w:p w14:paraId="32B728CE">
            <w:pPr>
              <w:widowControl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入人数</w:t>
            </w:r>
          </w:p>
        </w:tc>
      </w:tr>
      <w:tr w14:paraId="693EB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59A37F09">
            <w:pPr>
              <w:widowControl/>
              <w:jc w:val="center"/>
              <w:rPr>
                <w:rFonts w:ascii="Times New Roman" w:hAnsi="Times New Roman" w:eastAsia="方正仿宋_GBK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0210101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704D6624">
            <w:pPr>
              <w:widowControl/>
              <w:jc w:val="center"/>
              <w:rPr>
                <w:rFonts w:ascii="Times New Roman" w:hAnsi="Times New Roman" w:eastAsia="方正仿宋_GBK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化学</w:t>
            </w:r>
          </w:p>
        </w:tc>
        <w:tc>
          <w:tcPr>
            <w:tcW w:w="1154" w:type="dxa"/>
            <w:shd w:val="clear" w:color="auto" w:fill="auto"/>
            <w:noWrap/>
            <w:vAlign w:val="center"/>
          </w:tcPr>
          <w:p w14:paraId="6454662B">
            <w:pPr>
              <w:widowControl/>
              <w:jc w:val="left"/>
              <w:rPr>
                <w:rFonts w:ascii="Times New Roman" w:hAnsi="Times New Roman" w:eastAsia="方正仿宋_GBK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1433" w:type="dxa"/>
            <w:shd w:val="clear" w:color="auto" w:fill="auto"/>
            <w:noWrap/>
            <w:vAlign w:val="center"/>
          </w:tcPr>
          <w:p w14:paraId="14E05977">
            <w:pPr>
              <w:widowControl/>
              <w:jc w:val="center"/>
              <w:rPr>
                <w:rFonts w:ascii="Times New Roman" w:hAnsi="Times New Roman" w:eastAsia="方正仿宋_GBK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7DD4D589">
            <w:pPr>
              <w:widowControl/>
              <w:jc w:val="center"/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ascii="Times New Roman" w:hAnsi="Times New Roman" w:eastAsia="方正仿宋_GBK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6910E885">
            <w:pPr>
              <w:widowControl/>
              <w:jc w:val="center"/>
              <w:rPr>
                <w:rFonts w:ascii="Times New Roman" w:hAnsi="Times New Roman" w:eastAsia="方正仿宋_GBK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48B52AFB">
            <w:pPr>
              <w:widowControl/>
              <w:jc w:val="center"/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 w14:paraId="2A7FD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253BD924">
            <w:pPr>
              <w:widowControl/>
              <w:jc w:val="center"/>
              <w:rPr>
                <w:rFonts w:ascii="Times New Roman" w:hAnsi="Times New Roman" w:eastAsia="方正仿宋_GBK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0923101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0405F4FA">
            <w:pPr>
              <w:widowControl/>
              <w:jc w:val="center"/>
              <w:rPr>
                <w:rFonts w:ascii="Times New Roman" w:hAnsi="Times New Roman" w:eastAsia="方正仿宋_GBK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化学工程与工艺</w:t>
            </w:r>
          </w:p>
        </w:tc>
        <w:tc>
          <w:tcPr>
            <w:tcW w:w="1154" w:type="dxa"/>
            <w:shd w:val="clear" w:color="auto" w:fill="auto"/>
            <w:noWrap/>
            <w:vAlign w:val="center"/>
          </w:tcPr>
          <w:p w14:paraId="7393C574">
            <w:pPr>
              <w:widowControl/>
              <w:jc w:val="left"/>
              <w:rPr>
                <w:rFonts w:ascii="Times New Roman" w:hAnsi="Times New Roman" w:eastAsia="方正仿宋_GBK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3" w:type="dxa"/>
            <w:shd w:val="clear" w:color="auto" w:fill="auto"/>
            <w:noWrap/>
            <w:vAlign w:val="center"/>
          </w:tcPr>
          <w:p w14:paraId="070ADA8C">
            <w:pPr>
              <w:widowControl/>
              <w:jc w:val="center"/>
              <w:rPr>
                <w:rFonts w:ascii="Times New Roman" w:hAnsi="Times New Roman" w:eastAsia="方正仿宋_GBK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755D0933">
            <w:pPr>
              <w:widowControl/>
              <w:jc w:val="center"/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D36EA68">
            <w:pPr>
              <w:widowControl/>
              <w:jc w:val="center"/>
              <w:rPr>
                <w:rFonts w:ascii="Times New Roman" w:hAnsi="Times New Roman" w:eastAsia="方正仿宋_GBK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0ECB5B72">
            <w:pPr>
              <w:widowControl/>
              <w:jc w:val="center"/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</w:tr>
      <w:tr w14:paraId="289EA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1D6EBB08">
            <w:pPr>
              <w:widowControl/>
              <w:jc w:val="center"/>
              <w:rPr>
                <w:rFonts w:ascii="Times New Roman" w:hAnsi="Times New Roman" w:eastAsia="方正仿宋_GBK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1953101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7D131B9B">
            <w:pPr>
              <w:widowControl/>
              <w:jc w:val="center"/>
              <w:rPr>
                <w:rFonts w:ascii="Times New Roman" w:hAnsi="Times New Roman" w:eastAsia="方正仿宋_GBK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制药工程</w:t>
            </w:r>
          </w:p>
        </w:tc>
        <w:tc>
          <w:tcPr>
            <w:tcW w:w="1154" w:type="dxa"/>
            <w:shd w:val="clear" w:color="auto" w:fill="auto"/>
            <w:noWrap/>
            <w:vAlign w:val="center"/>
          </w:tcPr>
          <w:p w14:paraId="79156897">
            <w:pPr>
              <w:widowControl/>
              <w:jc w:val="left"/>
              <w:rPr>
                <w:rFonts w:ascii="Times New Roman" w:hAnsi="Times New Roman" w:eastAsia="方正仿宋_GBK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3" w:type="dxa"/>
            <w:shd w:val="clear" w:color="auto" w:fill="auto"/>
            <w:noWrap/>
            <w:vAlign w:val="center"/>
          </w:tcPr>
          <w:p w14:paraId="69515394">
            <w:pPr>
              <w:widowControl/>
              <w:jc w:val="center"/>
              <w:rPr>
                <w:rFonts w:ascii="Times New Roman" w:hAnsi="Times New Roman" w:eastAsia="方正仿宋_GBK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2C2F5B1F">
            <w:pPr>
              <w:widowControl/>
              <w:jc w:val="center"/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F74BB75">
            <w:pPr>
              <w:widowControl/>
              <w:jc w:val="center"/>
              <w:rPr>
                <w:rFonts w:ascii="Times New Roman" w:hAnsi="Times New Roman" w:eastAsia="方正仿宋_GBK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181CC22F">
            <w:pPr>
              <w:widowControl/>
              <w:jc w:val="center"/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</w:tbl>
    <w:p w14:paraId="05A9B615">
      <w:pPr>
        <w:pStyle w:val="9"/>
        <w:spacing w:line="560" w:lineRule="exact"/>
        <w:ind w:firstLine="640"/>
        <w:jc w:val="left"/>
        <w:rPr>
          <w:rFonts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四、转入考核</w:t>
      </w:r>
    </w:p>
    <w:p w14:paraId="2DEEE3A2">
      <w:pPr>
        <w:pStyle w:val="9"/>
        <w:spacing w:line="560" w:lineRule="exact"/>
        <w:ind w:firstLine="643"/>
        <w:jc w:val="left"/>
        <w:rPr>
          <w:rFonts w:ascii="Times New Roman" w:hAnsi="Times New Roman" w:eastAsia="方正楷体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楷体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1.面试（■是 □否）</w:t>
      </w:r>
    </w:p>
    <w:p w14:paraId="508A0548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（1）面试内容及要求：</w:t>
      </w:r>
      <w:r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综合素质，主要考查逻辑思维能力和表达能力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；</w:t>
      </w:r>
    </w:p>
    <w:p w14:paraId="59F98CE5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（2）面试方式、时间及地点：202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年1月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日，至安北楼610，线下面试；</w:t>
      </w:r>
    </w:p>
    <w:p w14:paraId="559F230D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（3）面试成绩使用办法：</w:t>
      </w:r>
      <w:r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面试成绩具有一票否决权，根据面试情况，面试得分高于等于60分，即为符合条件。</w:t>
      </w:r>
    </w:p>
    <w:p w14:paraId="7C7F7C79">
      <w:pPr>
        <w:pStyle w:val="9"/>
        <w:spacing w:line="560" w:lineRule="exact"/>
        <w:ind w:firstLine="643"/>
        <w:jc w:val="left"/>
        <w:rPr>
          <w:rFonts w:ascii="Times New Roman" w:hAnsi="Times New Roman" w:eastAsia="方正楷体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楷体_GBK"/>
          <w:b/>
          <w:sz w:val="32"/>
          <w:szCs w:val="32"/>
        </w:rPr>
        <w:t>2.</w:t>
      </w:r>
      <w:r>
        <w:rPr>
          <w:rFonts w:hint="eastAsia" w:ascii="Times New Roman" w:hAnsi="Times New Roman" w:eastAsia="方正楷体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笔试（</w:t>
      </w:r>
      <w:r>
        <w:rPr>
          <w:rFonts w:hint="eastAsia" w:ascii="Times New Roman" w:hAnsi="Times New Roman" w:eastAsia="方正仿宋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□</w:t>
      </w:r>
      <w:r>
        <w:rPr>
          <w:rFonts w:hint="eastAsia" w:ascii="Times New Roman" w:hAnsi="Times New Roman" w:eastAsia="方正楷体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是 </w:t>
      </w:r>
      <w:r>
        <w:rPr>
          <w:rFonts w:hint="eastAsia" w:ascii="Times New Roman" w:hAnsi="Times New Roman" w:eastAsia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■</w:t>
      </w:r>
      <w:r>
        <w:rPr>
          <w:rFonts w:hint="eastAsia" w:ascii="Times New Roman" w:hAnsi="Times New Roman" w:eastAsia="方正楷体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否）</w:t>
      </w:r>
    </w:p>
    <w:p w14:paraId="79B8AD43">
      <w:pPr>
        <w:pStyle w:val="9"/>
        <w:spacing w:line="560" w:lineRule="exact"/>
        <w:ind w:firstLine="640"/>
        <w:jc w:val="left"/>
        <w:rPr>
          <w:rFonts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五、录取标准</w:t>
      </w:r>
    </w:p>
    <w:p w14:paraId="3CDBCA97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.符合转专业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条件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；</w:t>
      </w:r>
    </w:p>
    <w:p w14:paraId="56F7E862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方正仿宋_GBK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按大一秋期平均学分绩点排名，若平均学分绩点相同，依次比较面试成绩</w:t>
      </w:r>
      <w:r>
        <w:rPr>
          <w:rFonts w:hint="eastAsia" w:ascii="Times New Roman" w:hAnsi="方正仿宋_GBK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方正仿宋_GBK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高等数学（一）成绩</w:t>
      </w:r>
      <w:r>
        <w:rPr>
          <w:rFonts w:hint="eastAsia" w:ascii="Times New Roman" w:hAnsi="方正仿宋_GBK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方正仿宋_GBK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高考化学（理综）得分率择优录取。</w:t>
      </w:r>
    </w:p>
    <w:p w14:paraId="7F9AD628">
      <w:pPr>
        <w:spacing w:line="560" w:lineRule="exact"/>
        <w:ind w:firstLine="640" w:firstLineChars="200"/>
        <w:jc w:val="left"/>
        <w:rPr>
          <w:rFonts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六、其他说明</w:t>
      </w:r>
    </w:p>
    <w:p w14:paraId="02503487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请有意愿提交申请的同学加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QQ群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666861862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咨询了解。</w:t>
      </w:r>
    </w:p>
    <w:p w14:paraId="7216C593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未尽事宜，按照学校转专业通知要求执行。</w:t>
      </w:r>
    </w:p>
    <w:p w14:paraId="6EA67AC8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03C13788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267C0D09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000CE7B1">
      <w:pPr>
        <w:tabs>
          <w:tab w:val="center" w:pos="4415"/>
        </w:tabs>
        <w:snapToGrid w:val="0"/>
        <w:spacing w:line="560" w:lineRule="exact"/>
        <w:ind w:firstLine="6720" w:firstLineChars="21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化学化工学院</w:t>
      </w:r>
    </w:p>
    <w:p w14:paraId="0A21277A">
      <w:pPr>
        <w:tabs>
          <w:tab w:val="center" w:pos="4415"/>
        </w:tabs>
        <w:snapToGrid w:val="0"/>
        <w:spacing w:line="560" w:lineRule="exact"/>
        <w:ind w:firstLine="6400" w:firstLineChars="20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年12月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</w:p>
    <w:sectPr>
      <w:pgSz w:w="11906" w:h="16838"/>
      <w:pgMar w:top="1418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hjZWE5N2I5OWY0NGRiNGNmYTEzN2YwYzU5YzAwYWEifQ=="/>
  </w:docVars>
  <w:rsids>
    <w:rsidRoot w:val="003027C7"/>
    <w:rsid w:val="00031BF2"/>
    <w:rsid w:val="00032CF1"/>
    <w:rsid w:val="00040031"/>
    <w:rsid w:val="00051D79"/>
    <w:rsid w:val="000557B6"/>
    <w:rsid w:val="00091BB6"/>
    <w:rsid w:val="000B132A"/>
    <w:rsid w:val="000D7765"/>
    <w:rsid w:val="000E011E"/>
    <w:rsid w:val="000E3488"/>
    <w:rsid w:val="0010314A"/>
    <w:rsid w:val="001549EF"/>
    <w:rsid w:val="0016317A"/>
    <w:rsid w:val="00175BFB"/>
    <w:rsid w:val="00182F33"/>
    <w:rsid w:val="00190C07"/>
    <w:rsid w:val="00196989"/>
    <w:rsid w:val="001B6918"/>
    <w:rsid w:val="001C1960"/>
    <w:rsid w:val="001D2C33"/>
    <w:rsid w:val="001E4A72"/>
    <w:rsid w:val="002147AF"/>
    <w:rsid w:val="00250648"/>
    <w:rsid w:val="00265A22"/>
    <w:rsid w:val="00277F95"/>
    <w:rsid w:val="002850D3"/>
    <w:rsid w:val="002A4A24"/>
    <w:rsid w:val="002B283F"/>
    <w:rsid w:val="002B6239"/>
    <w:rsid w:val="002D672A"/>
    <w:rsid w:val="002D7A83"/>
    <w:rsid w:val="003027C7"/>
    <w:rsid w:val="003044BD"/>
    <w:rsid w:val="00334BB6"/>
    <w:rsid w:val="003374E3"/>
    <w:rsid w:val="0034019A"/>
    <w:rsid w:val="00372DCE"/>
    <w:rsid w:val="00375F3E"/>
    <w:rsid w:val="003956A7"/>
    <w:rsid w:val="003B06CB"/>
    <w:rsid w:val="003B1EDF"/>
    <w:rsid w:val="003B370A"/>
    <w:rsid w:val="003C27BC"/>
    <w:rsid w:val="003C5C46"/>
    <w:rsid w:val="003F22A4"/>
    <w:rsid w:val="003F32DA"/>
    <w:rsid w:val="004107BD"/>
    <w:rsid w:val="00412704"/>
    <w:rsid w:val="00413CBF"/>
    <w:rsid w:val="00414D55"/>
    <w:rsid w:val="00422431"/>
    <w:rsid w:val="00427B5E"/>
    <w:rsid w:val="00430903"/>
    <w:rsid w:val="004333FE"/>
    <w:rsid w:val="004411A5"/>
    <w:rsid w:val="00445C7B"/>
    <w:rsid w:val="00454343"/>
    <w:rsid w:val="00464490"/>
    <w:rsid w:val="004A7BD6"/>
    <w:rsid w:val="004D55B5"/>
    <w:rsid w:val="004E0CDC"/>
    <w:rsid w:val="004E7FDC"/>
    <w:rsid w:val="0050187E"/>
    <w:rsid w:val="0051551B"/>
    <w:rsid w:val="00543586"/>
    <w:rsid w:val="0056266F"/>
    <w:rsid w:val="005740C9"/>
    <w:rsid w:val="005826A0"/>
    <w:rsid w:val="00590BF9"/>
    <w:rsid w:val="00593641"/>
    <w:rsid w:val="005B2C44"/>
    <w:rsid w:val="005C445B"/>
    <w:rsid w:val="005F49D9"/>
    <w:rsid w:val="005F57FA"/>
    <w:rsid w:val="0060525F"/>
    <w:rsid w:val="00613ADA"/>
    <w:rsid w:val="006300A9"/>
    <w:rsid w:val="00634337"/>
    <w:rsid w:val="006351C0"/>
    <w:rsid w:val="00651A7A"/>
    <w:rsid w:val="00654E16"/>
    <w:rsid w:val="0065660A"/>
    <w:rsid w:val="00657825"/>
    <w:rsid w:val="006D6B3A"/>
    <w:rsid w:val="006E4D9B"/>
    <w:rsid w:val="00704B91"/>
    <w:rsid w:val="00707DE8"/>
    <w:rsid w:val="00715DE5"/>
    <w:rsid w:val="00727968"/>
    <w:rsid w:val="007805B7"/>
    <w:rsid w:val="00782A8D"/>
    <w:rsid w:val="00796EF3"/>
    <w:rsid w:val="007C014D"/>
    <w:rsid w:val="007C3A0D"/>
    <w:rsid w:val="007E0406"/>
    <w:rsid w:val="007E3F6D"/>
    <w:rsid w:val="007F3AEF"/>
    <w:rsid w:val="007F4191"/>
    <w:rsid w:val="007F57E1"/>
    <w:rsid w:val="008773B2"/>
    <w:rsid w:val="00901248"/>
    <w:rsid w:val="00912043"/>
    <w:rsid w:val="009200E2"/>
    <w:rsid w:val="00923C05"/>
    <w:rsid w:val="00937511"/>
    <w:rsid w:val="00957774"/>
    <w:rsid w:val="0096422C"/>
    <w:rsid w:val="00965DF4"/>
    <w:rsid w:val="00966E29"/>
    <w:rsid w:val="009962B9"/>
    <w:rsid w:val="009A519B"/>
    <w:rsid w:val="009B7826"/>
    <w:rsid w:val="009C1805"/>
    <w:rsid w:val="009D38E2"/>
    <w:rsid w:val="009D3C85"/>
    <w:rsid w:val="009F465F"/>
    <w:rsid w:val="009F7DEA"/>
    <w:rsid w:val="00A036EC"/>
    <w:rsid w:val="00A07A69"/>
    <w:rsid w:val="00A10261"/>
    <w:rsid w:val="00A1538B"/>
    <w:rsid w:val="00A432E5"/>
    <w:rsid w:val="00A557FC"/>
    <w:rsid w:val="00A73F7B"/>
    <w:rsid w:val="00A821AB"/>
    <w:rsid w:val="00A86707"/>
    <w:rsid w:val="00AA2584"/>
    <w:rsid w:val="00AB3A8D"/>
    <w:rsid w:val="00AB533B"/>
    <w:rsid w:val="00AE3D69"/>
    <w:rsid w:val="00AF4989"/>
    <w:rsid w:val="00B04746"/>
    <w:rsid w:val="00B14DF2"/>
    <w:rsid w:val="00B42C8D"/>
    <w:rsid w:val="00B62642"/>
    <w:rsid w:val="00B676DC"/>
    <w:rsid w:val="00B73A28"/>
    <w:rsid w:val="00B750A1"/>
    <w:rsid w:val="00B81D26"/>
    <w:rsid w:val="00B93284"/>
    <w:rsid w:val="00B970CE"/>
    <w:rsid w:val="00BB0282"/>
    <w:rsid w:val="00BB204F"/>
    <w:rsid w:val="00BF053C"/>
    <w:rsid w:val="00BF13BE"/>
    <w:rsid w:val="00BF7D2A"/>
    <w:rsid w:val="00C04BCA"/>
    <w:rsid w:val="00C117BB"/>
    <w:rsid w:val="00C406FF"/>
    <w:rsid w:val="00C51CF8"/>
    <w:rsid w:val="00C56783"/>
    <w:rsid w:val="00C613B1"/>
    <w:rsid w:val="00C613D0"/>
    <w:rsid w:val="00C7099C"/>
    <w:rsid w:val="00C7124C"/>
    <w:rsid w:val="00C7537C"/>
    <w:rsid w:val="00C77A04"/>
    <w:rsid w:val="00C90C92"/>
    <w:rsid w:val="00CC1E10"/>
    <w:rsid w:val="00CD3D6A"/>
    <w:rsid w:val="00CE7E94"/>
    <w:rsid w:val="00CF1190"/>
    <w:rsid w:val="00CF2E79"/>
    <w:rsid w:val="00D22842"/>
    <w:rsid w:val="00D22B05"/>
    <w:rsid w:val="00D3549D"/>
    <w:rsid w:val="00D5250E"/>
    <w:rsid w:val="00D52EAD"/>
    <w:rsid w:val="00D71F30"/>
    <w:rsid w:val="00D92315"/>
    <w:rsid w:val="00DA42D1"/>
    <w:rsid w:val="00DD1271"/>
    <w:rsid w:val="00DD26F8"/>
    <w:rsid w:val="00DE609E"/>
    <w:rsid w:val="00E34105"/>
    <w:rsid w:val="00E3602A"/>
    <w:rsid w:val="00E672FC"/>
    <w:rsid w:val="00E839B2"/>
    <w:rsid w:val="00E96B3E"/>
    <w:rsid w:val="00EA2227"/>
    <w:rsid w:val="00EB20A3"/>
    <w:rsid w:val="00EE2FD4"/>
    <w:rsid w:val="00EF4F11"/>
    <w:rsid w:val="00F3419D"/>
    <w:rsid w:val="00F529B7"/>
    <w:rsid w:val="00F73DE7"/>
    <w:rsid w:val="00FA44B4"/>
    <w:rsid w:val="00FA609A"/>
    <w:rsid w:val="02E3626A"/>
    <w:rsid w:val="047273A9"/>
    <w:rsid w:val="0BE67FFA"/>
    <w:rsid w:val="0CEC743A"/>
    <w:rsid w:val="0FB21E27"/>
    <w:rsid w:val="26573CC6"/>
    <w:rsid w:val="275157C3"/>
    <w:rsid w:val="2BC5143E"/>
    <w:rsid w:val="302B79D9"/>
    <w:rsid w:val="3B5112C2"/>
    <w:rsid w:val="3CFE624A"/>
    <w:rsid w:val="51974091"/>
    <w:rsid w:val="5AA61D4E"/>
    <w:rsid w:val="60176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rPr>
      <w:sz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YZNU</Company>
  <Pages>3</Pages>
  <Words>696</Words>
  <Characters>762</Characters>
  <Lines>8</Lines>
  <Paragraphs>2</Paragraphs>
  <TotalTime>94</TotalTime>
  <ScaleCrop>false</ScaleCrop>
  <LinksUpToDate>false</LinksUpToDate>
  <CharactersWithSpaces>770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2022-06-15T08:32:00Z</dcterms:created>
  <dc:creator>邓永康</dc:creator>
  <cp:lastModifiedBy>ʚྀིɞ</cp:lastModifiedBy>
  <cp:lastPrinted>2025-12-29T01:37:24Z</cp:lastPrinted>
  <dcterms:modified xsi:type="dcterms:W3CDTF">2025-12-29T01:37:29Z</dcterms:modified>
  <cp:revision>102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B802DB64BE634DFD9C84BCA3EAA16E97_13</vt:lpwstr>
  </property>
  <property fmtid="{D5CDD505-2E9C-101B-9397-08002B2CF9AE}" pid="4" name="KSOTemplateDocerSaveRecord">
    <vt:lpwstr>eyJoZGlkIjoiM2Q3Y2Q1ZDEyNGVkNWI5ODA3YTg5ZmE0Yzk0Mzk3MTUiLCJ1c2VySWQiOiI4MDYzNjIwNDkifQ==</vt:lpwstr>
  </property>
</Properties>
</file>