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F753" w14:textId="77777777" w:rsidR="00F321F4" w:rsidRDefault="00000000">
      <w:pPr>
        <w:overflowPunct w:val="0"/>
        <w:autoSpaceDE w:val="0"/>
        <w:autoSpaceDN w:val="0"/>
        <w:spacing w:line="600" w:lineRule="exact"/>
        <w:jc w:val="right"/>
        <w:rPr>
          <w:rFonts w:eastAsia="方正仿宋_GBK"/>
          <w:color w:val="000000"/>
          <w:sz w:val="32"/>
          <w:szCs w:val="32"/>
        </w:rPr>
      </w:pPr>
      <w:r>
        <w:rPr>
          <w:rFonts w:eastAsia="方正仿宋_GBK"/>
          <w:color w:val="000000"/>
          <w:sz w:val="32"/>
          <w:szCs w:val="32"/>
        </w:rPr>
        <w:pict w14:anchorId="77D67858">
          <v:group id="组合 6" o:spid="_x0000_s1026" style="position:absolute;left:0;text-align:left;margin-left:-15.65pt;margin-top:-.5pt;width:481.9pt;height:684.9pt;z-index:251659264" coordorigin="1134,2008" coordsize="9638,13698">
            <v:line id="直线 7" o:spid="_x0000_s1027" style="position:absolute" from="1134,3005" to="10772,3005" strokecolor="red" strokeweight="6pt">
              <v:stroke linestyle="thickThin"/>
            </v:line>
            <v:line id="直线 8" o:spid="_x0000_s1028" style="position:absolute" from="1134,15706" to="10772,15706" strokecolor="red" strokeweight="6pt">
              <v:stroke linestyle="thinThick"/>
            </v:lin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9" o:spid="_x0000_s1029" type="#_x0000_t136" style="position:absolute;left:1713;top:2008;width:8505;height:616" fillcolor="red" strokecolor="red">
              <v:textpath style="font-family:&quot;方正小标宋_GBK&quot;;font-size:32pt" trim="t" fitpath="t" string="重 庆 市 教 育 委 员 会 办 公 室"/>
            </v:shape>
          </v:group>
        </w:pict>
      </w:r>
    </w:p>
    <w:p w14:paraId="5458E61F" w14:textId="77777777" w:rsidR="00F321F4" w:rsidRDefault="00F321F4">
      <w:pPr>
        <w:overflowPunct w:val="0"/>
        <w:autoSpaceDE w:val="0"/>
        <w:autoSpaceDN w:val="0"/>
        <w:spacing w:line="600" w:lineRule="exact"/>
        <w:jc w:val="left"/>
        <w:rPr>
          <w:rFonts w:eastAsia="方正黑体_GBK"/>
          <w:color w:val="000000"/>
          <w:sz w:val="32"/>
          <w:szCs w:val="32"/>
        </w:rPr>
      </w:pPr>
    </w:p>
    <w:p w14:paraId="71810B3A" w14:textId="77777777" w:rsidR="00F321F4" w:rsidRDefault="00000000">
      <w:pPr>
        <w:overflowPunct w:val="0"/>
        <w:autoSpaceDE w:val="0"/>
        <w:autoSpaceDN w:val="0"/>
        <w:spacing w:line="600" w:lineRule="exact"/>
        <w:jc w:val="right"/>
        <w:rPr>
          <w:rFonts w:eastAsia="方正仿宋_GBK"/>
          <w:color w:val="000000"/>
          <w:sz w:val="32"/>
          <w:szCs w:val="32"/>
        </w:rPr>
      </w:pPr>
      <w:r>
        <w:rPr>
          <w:rFonts w:eastAsia="方正仿宋_GBK"/>
          <w:color w:val="000000"/>
          <w:sz w:val="32"/>
          <w:szCs w:val="32"/>
        </w:rPr>
        <w:t>〔</w:t>
      </w:r>
      <w:r>
        <w:rPr>
          <w:rFonts w:eastAsia="方正仿宋_GBK"/>
          <w:color w:val="000000"/>
          <w:sz w:val="32"/>
          <w:szCs w:val="32"/>
        </w:rPr>
        <w:t>202</w:t>
      </w:r>
      <w:r>
        <w:rPr>
          <w:rFonts w:eastAsia="方正仿宋_GBK" w:hint="eastAsia"/>
          <w:color w:val="000000"/>
          <w:sz w:val="32"/>
          <w:szCs w:val="32"/>
        </w:rPr>
        <w:t>6</w:t>
      </w:r>
      <w:r>
        <w:rPr>
          <w:rFonts w:eastAsia="方正仿宋_GBK"/>
          <w:color w:val="000000"/>
          <w:sz w:val="32"/>
          <w:szCs w:val="32"/>
        </w:rPr>
        <w:t>〕</w:t>
      </w:r>
      <w:r>
        <w:rPr>
          <w:rFonts w:eastAsia="方正仿宋_GBK"/>
          <w:color w:val="000000"/>
          <w:sz w:val="32"/>
          <w:szCs w:val="32"/>
        </w:rPr>
        <w:t>—</w:t>
      </w:r>
      <w:r>
        <w:rPr>
          <w:rFonts w:eastAsia="方正仿宋_GBK" w:hint="eastAsia"/>
          <w:color w:val="000000"/>
          <w:sz w:val="32"/>
          <w:szCs w:val="32"/>
        </w:rPr>
        <w:t>175</w:t>
      </w:r>
    </w:p>
    <w:p w14:paraId="7E989359" w14:textId="77777777" w:rsidR="00F321F4" w:rsidRDefault="00F321F4">
      <w:pPr>
        <w:overflowPunct w:val="0"/>
        <w:autoSpaceDE w:val="0"/>
        <w:autoSpaceDN w:val="0"/>
        <w:spacing w:line="600" w:lineRule="exact"/>
        <w:jc w:val="right"/>
        <w:rPr>
          <w:rFonts w:eastAsia="方正仿宋_GBK"/>
          <w:color w:val="000000"/>
          <w:sz w:val="32"/>
          <w:szCs w:val="32"/>
        </w:rPr>
      </w:pPr>
    </w:p>
    <w:p w14:paraId="3E59B119" w14:textId="77777777" w:rsidR="00F321F4" w:rsidRDefault="00F321F4">
      <w:pPr>
        <w:spacing w:line="600" w:lineRule="exact"/>
        <w:jc w:val="center"/>
        <w:rPr>
          <w:rFonts w:eastAsia="方正小标宋_GBK"/>
          <w:color w:val="000000"/>
          <w:sz w:val="44"/>
          <w:szCs w:val="44"/>
          <w:shd w:val="clear" w:color="auto" w:fill="FFFFFF"/>
        </w:rPr>
      </w:pPr>
    </w:p>
    <w:p w14:paraId="11EBD7FD" w14:textId="77777777" w:rsidR="00F321F4" w:rsidRDefault="00000000">
      <w:pPr>
        <w:adjustRightInd w:val="0"/>
        <w:snapToGrid w:val="0"/>
        <w:spacing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重庆市教育委员会办公室</w:t>
      </w:r>
    </w:p>
    <w:p w14:paraId="1FC9B877" w14:textId="77777777" w:rsidR="00F321F4" w:rsidRDefault="00000000">
      <w:pPr>
        <w:adjustRightInd w:val="0"/>
        <w:snapToGrid w:val="0"/>
        <w:spacing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关于开展高校实验室安全</w:t>
      </w:r>
      <w:r>
        <w:rPr>
          <w:rFonts w:ascii="方正小标宋_GBK" w:eastAsia="方正小标宋_GBK" w:hAnsi="方正小标宋_GBK" w:cs="方正小标宋_GBK"/>
          <w:sz w:val="44"/>
          <w:szCs w:val="44"/>
        </w:rPr>
        <w:t>教育</w:t>
      </w:r>
    </w:p>
    <w:p w14:paraId="18B65F83" w14:textId="77777777" w:rsidR="00F321F4" w:rsidRDefault="00000000">
      <w:pPr>
        <w:adjustRightInd w:val="0"/>
        <w:snapToGrid w:val="0"/>
        <w:spacing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系列课程学习的通知</w:t>
      </w:r>
    </w:p>
    <w:p w14:paraId="277AD37F"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2E107DBD" w14:textId="77777777" w:rsidR="00F321F4" w:rsidRDefault="00000000">
      <w:pPr>
        <w:adjustRightInd w:val="0"/>
        <w:snapToGrid w:val="0"/>
        <w:spacing w:line="600" w:lineRule="exact"/>
        <w:rPr>
          <w:rFonts w:eastAsia="方正仿宋_GBK" w:cs="方正仿宋_GBK"/>
          <w:sz w:val="32"/>
          <w:szCs w:val="32"/>
        </w:rPr>
      </w:pPr>
      <w:r>
        <w:rPr>
          <w:rFonts w:eastAsia="方正仿宋_GBK" w:cs="方正仿宋_GBK" w:hint="eastAsia"/>
          <w:sz w:val="32"/>
          <w:szCs w:val="32"/>
        </w:rPr>
        <w:t>各在渝</w:t>
      </w:r>
      <w:r>
        <w:rPr>
          <w:rFonts w:eastAsia="方正仿宋_GBK" w:cs="方正仿宋_GBK"/>
          <w:sz w:val="32"/>
          <w:szCs w:val="32"/>
        </w:rPr>
        <w:t>普通</w:t>
      </w:r>
      <w:r>
        <w:rPr>
          <w:rFonts w:eastAsia="方正仿宋_GBK" w:cs="方正仿宋_GBK" w:hint="eastAsia"/>
          <w:sz w:val="32"/>
          <w:szCs w:val="32"/>
        </w:rPr>
        <w:t>高校：</w:t>
      </w:r>
    </w:p>
    <w:p w14:paraId="49B483E4" w14:textId="77777777" w:rsidR="00F321F4" w:rsidRDefault="00000000">
      <w:pPr>
        <w:spacing w:line="600" w:lineRule="exact"/>
        <w:ind w:firstLineChars="200" w:firstLine="640"/>
        <w:rPr>
          <w:rFonts w:eastAsia="方正仿宋_GBK" w:cs="方正仿宋_GBK"/>
          <w:sz w:val="32"/>
          <w:szCs w:val="32"/>
        </w:rPr>
      </w:pPr>
      <w:r>
        <w:rPr>
          <w:rFonts w:eastAsia="方正仿宋_GBK" w:cs="方正仿宋_GBK" w:hint="eastAsia"/>
          <w:sz w:val="32"/>
          <w:szCs w:val="32"/>
        </w:rPr>
        <w:t>为深入贯彻落实国家、教育部关于高校实验室安全工作的部署要求，切实加强高校实验室安全教育培训，借助</w:t>
      </w:r>
      <w:r>
        <w:rPr>
          <w:rFonts w:eastAsia="方正仿宋_GBK" w:cs="方正仿宋_GBK" w:hint="eastAsia"/>
          <w:sz w:val="32"/>
          <w:szCs w:val="32"/>
        </w:rPr>
        <w:t>AI</w:t>
      </w:r>
      <w:r>
        <w:rPr>
          <w:rFonts w:eastAsia="方正仿宋_GBK" w:cs="方正仿宋_GBK" w:hint="eastAsia"/>
          <w:sz w:val="32"/>
          <w:szCs w:val="32"/>
        </w:rPr>
        <w:t>、</w:t>
      </w:r>
      <w:r>
        <w:rPr>
          <w:rFonts w:eastAsia="方正仿宋_GBK" w:cs="方正仿宋_GBK" w:hint="eastAsia"/>
          <w:sz w:val="32"/>
          <w:szCs w:val="32"/>
        </w:rPr>
        <w:t>XR</w:t>
      </w:r>
      <w:r>
        <w:rPr>
          <w:rFonts w:eastAsia="方正仿宋_GBK" w:cs="方正仿宋_GBK" w:hint="eastAsia"/>
          <w:sz w:val="32"/>
          <w:szCs w:val="32"/>
        </w:rPr>
        <w:t>等技术构建高质量实验室安全教育体系，推动实验室安全教育融入人才培养全过程，有效提升师生实验室安全素养与智能化管理水平，现依托重庆智慧教育平台与“实验空间”国家虚拟仿真实验教学课程共享平台，决定开展高校实验室安全系列课程培训学习。现将有关事宜通知如下：</w:t>
      </w:r>
    </w:p>
    <w:p w14:paraId="2D349F91" w14:textId="77777777" w:rsidR="00F321F4" w:rsidRDefault="00000000">
      <w:pPr>
        <w:spacing w:line="600" w:lineRule="exact"/>
        <w:ind w:firstLineChars="200" w:firstLine="640"/>
        <w:rPr>
          <w:rFonts w:eastAsia="方正黑体_GBK" w:cs="Times New Roman"/>
          <w:bCs/>
          <w:sz w:val="32"/>
          <w:szCs w:val="32"/>
        </w:rPr>
      </w:pPr>
      <w:r>
        <w:rPr>
          <w:rFonts w:eastAsia="方正黑体_GBK" w:cs="Times New Roman" w:hint="eastAsia"/>
          <w:bCs/>
          <w:sz w:val="32"/>
          <w:szCs w:val="32"/>
        </w:rPr>
        <w:t>一、参与对象</w:t>
      </w:r>
    </w:p>
    <w:p w14:paraId="56DA3A11" w14:textId="77777777" w:rsidR="00F321F4" w:rsidRDefault="00000000">
      <w:pPr>
        <w:adjustRightInd w:val="0"/>
        <w:snapToGrid w:val="0"/>
        <w:spacing w:line="600" w:lineRule="exact"/>
        <w:ind w:firstLineChars="200" w:firstLine="640"/>
        <w:rPr>
          <w:rFonts w:eastAsia="方正仿宋_GBK" w:cs="方正仿宋_GBK"/>
          <w:sz w:val="32"/>
          <w:szCs w:val="32"/>
        </w:rPr>
      </w:pPr>
      <w:r>
        <w:rPr>
          <w:rFonts w:eastAsia="方正仿宋_GBK" w:cs="方正仿宋_GBK" w:hint="eastAsia"/>
          <w:sz w:val="32"/>
          <w:szCs w:val="32"/>
        </w:rPr>
        <w:t>各在渝普通</w:t>
      </w:r>
      <w:r>
        <w:rPr>
          <w:rFonts w:eastAsia="方正仿宋_GBK" w:cs="方正仿宋_GBK"/>
          <w:sz w:val="32"/>
          <w:szCs w:val="32"/>
        </w:rPr>
        <w:t>高校</w:t>
      </w:r>
      <w:r>
        <w:rPr>
          <w:rFonts w:eastAsia="方正仿宋_GBK" w:cs="方正仿宋_GBK" w:hint="eastAsia"/>
          <w:sz w:val="32"/>
          <w:szCs w:val="32"/>
        </w:rPr>
        <w:t>涉及实验教育</w:t>
      </w:r>
      <w:r>
        <w:rPr>
          <w:rFonts w:eastAsia="方正仿宋_GBK" w:cs="方正仿宋_GBK"/>
          <w:sz w:val="32"/>
          <w:szCs w:val="32"/>
        </w:rPr>
        <w:t>教学</w:t>
      </w:r>
      <w:r>
        <w:rPr>
          <w:rFonts w:eastAsia="方正仿宋_GBK" w:cs="方正仿宋_GBK" w:hint="eastAsia"/>
          <w:sz w:val="32"/>
          <w:szCs w:val="32"/>
        </w:rPr>
        <w:t>活动专任教师和在校学生。</w:t>
      </w:r>
    </w:p>
    <w:p w14:paraId="0CF28774" w14:textId="77777777" w:rsidR="00F321F4" w:rsidRDefault="00000000">
      <w:pPr>
        <w:spacing w:line="600" w:lineRule="exact"/>
        <w:ind w:firstLineChars="200" w:firstLine="640"/>
        <w:rPr>
          <w:rFonts w:eastAsia="方正黑体_GBK" w:cs="Times New Roman"/>
          <w:bCs/>
          <w:sz w:val="32"/>
          <w:szCs w:val="32"/>
        </w:rPr>
      </w:pPr>
      <w:r>
        <w:rPr>
          <w:rFonts w:eastAsia="方正黑体_GBK" w:cs="Times New Roman" w:hint="eastAsia"/>
          <w:bCs/>
          <w:sz w:val="32"/>
          <w:szCs w:val="32"/>
        </w:rPr>
        <w:t>二、课程内容</w:t>
      </w:r>
    </w:p>
    <w:p w14:paraId="4F43287C" w14:textId="77777777" w:rsidR="00F321F4" w:rsidRDefault="00000000">
      <w:pPr>
        <w:pStyle w:val="a8"/>
        <w:widowControl/>
        <w:adjustRightInd w:val="0"/>
        <w:snapToGrid w:val="0"/>
        <w:spacing w:beforeAutospacing="0" w:afterAutospacing="0" w:line="600" w:lineRule="exact"/>
        <w:ind w:firstLineChars="200" w:firstLine="640"/>
        <w:jc w:val="both"/>
        <w:rPr>
          <w:rFonts w:eastAsia="方正仿宋_GBK" w:cs="方正仿宋_GBK"/>
          <w:sz w:val="32"/>
          <w:szCs w:val="32"/>
        </w:rPr>
      </w:pPr>
      <w:r>
        <w:rPr>
          <w:rFonts w:eastAsia="方正仿宋_GBK" w:cs="方正仿宋_GBK" w:hint="eastAsia"/>
          <w:sz w:val="32"/>
          <w:szCs w:val="32"/>
        </w:rPr>
        <w:t>本次学习依托“实验空间”国家虚拟仿真实验教学课程共享平台已建成的“</w:t>
      </w:r>
      <w:r>
        <w:rPr>
          <w:rFonts w:eastAsia="方正仿宋_GBK" w:cs="方正仿宋_GBK" w:hint="eastAsia"/>
          <w:sz w:val="32"/>
          <w:szCs w:val="32"/>
        </w:rPr>
        <w:t>AI+XR</w:t>
      </w:r>
      <w:r>
        <w:rPr>
          <w:rFonts w:eastAsia="方正仿宋_GBK" w:cs="方正仿宋_GBK" w:hint="eastAsia"/>
          <w:sz w:val="32"/>
          <w:szCs w:val="32"/>
        </w:rPr>
        <w:t>实验室安全系列课程”开展。课程围绕实</w:t>
      </w:r>
      <w:r>
        <w:rPr>
          <w:rFonts w:eastAsia="方正仿宋_GBK" w:cs="方正仿宋_GBK" w:hint="eastAsia"/>
          <w:sz w:val="32"/>
          <w:szCs w:val="32"/>
        </w:rPr>
        <w:lastRenderedPageBreak/>
        <w:t>验室安全基础知识、专业领域风险防控及交叉实验安全管理等内容，</w:t>
      </w:r>
      <w:proofErr w:type="gramStart"/>
      <w:r>
        <w:rPr>
          <w:rFonts w:eastAsia="方正仿宋_GBK" w:cs="方正仿宋_GBK" w:hint="eastAsia"/>
          <w:sz w:val="32"/>
          <w:szCs w:val="32"/>
        </w:rPr>
        <w:t>构建起通识</w:t>
      </w:r>
      <w:proofErr w:type="gramEnd"/>
      <w:r>
        <w:rPr>
          <w:rFonts w:eastAsia="方正仿宋_GBK" w:cs="方正仿宋_GBK" w:hint="eastAsia"/>
          <w:sz w:val="32"/>
          <w:szCs w:val="32"/>
        </w:rPr>
        <w:t>素养、学科专业与前沿交叉三级进阶的课程体系。课程共</w:t>
      </w:r>
      <w:r>
        <w:rPr>
          <w:rFonts w:eastAsia="方正仿宋_GBK" w:cs="方正仿宋_GBK" w:hint="eastAsia"/>
          <w:sz w:val="32"/>
          <w:szCs w:val="32"/>
        </w:rPr>
        <w:t>13</w:t>
      </w:r>
      <w:r>
        <w:rPr>
          <w:rFonts w:eastAsia="方正仿宋_GBK" w:cs="方正仿宋_GBK" w:hint="eastAsia"/>
          <w:sz w:val="32"/>
          <w:szCs w:val="32"/>
        </w:rPr>
        <w:t>门、</w:t>
      </w:r>
      <w:r>
        <w:rPr>
          <w:rFonts w:eastAsia="方正仿宋_GBK" w:cs="方正仿宋_GBK" w:hint="eastAsia"/>
          <w:sz w:val="32"/>
          <w:szCs w:val="32"/>
        </w:rPr>
        <w:t>32</w:t>
      </w:r>
      <w:r>
        <w:rPr>
          <w:rFonts w:eastAsia="方正仿宋_GBK" w:cs="方正仿宋_GBK" w:hint="eastAsia"/>
          <w:sz w:val="32"/>
          <w:szCs w:val="32"/>
        </w:rPr>
        <w:t>学时，具体内容如下：</w:t>
      </w:r>
    </w:p>
    <w:p w14:paraId="5E74F17D" w14:textId="77777777" w:rsidR="00F321F4" w:rsidRDefault="00000000">
      <w:pPr>
        <w:pStyle w:val="a8"/>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（一）安全素养通识课程：</w:t>
      </w:r>
      <w:r>
        <w:rPr>
          <w:rFonts w:eastAsia="方正仿宋_GBK" w:cs="方正仿宋_GBK" w:hint="eastAsia"/>
          <w:sz w:val="32"/>
          <w:szCs w:val="32"/>
        </w:rPr>
        <w:t>包含安全科学基础、安全心理学、实验室风险防控、实验室事故与应急处理、安全文化、实验室个体防护</w:t>
      </w:r>
      <w:r>
        <w:rPr>
          <w:rFonts w:eastAsia="方正仿宋_GBK" w:cs="方正仿宋_GBK" w:hint="eastAsia"/>
          <w:sz w:val="32"/>
          <w:szCs w:val="32"/>
        </w:rPr>
        <w:t>6</w:t>
      </w:r>
      <w:r>
        <w:rPr>
          <w:rFonts w:eastAsia="方正仿宋_GBK" w:cs="方正仿宋_GBK" w:hint="eastAsia"/>
          <w:sz w:val="32"/>
          <w:szCs w:val="32"/>
        </w:rPr>
        <w:t>门课程，系统构建实验室安全知识框架，强化安全意识，培育校园实验室安全文化。</w:t>
      </w:r>
    </w:p>
    <w:p w14:paraId="47613D73" w14:textId="77777777" w:rsidR="00F321F4" w:rsidRDefault="00000000">
      <w:pPr>
        <w:pStyle w:val="a8"/>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（二）学科专业安全课程：</w:t>
      </w:r>
      <w:r>
        <w:rPr>
          <w:rFonts w:eastAsia="方正仿宋_GBK" w:cs="方正仿宋_GBK" w:hint="eastAsia"/>
          <w:sz w:val="32"/>
          <w:szCs w:val="32"/>
        </w:rPr>
        <w:t>聚焦学科特性，包含实验室机械安全基础、实验室化学安全基础、实验室辐射安全基础、实验室用电安全基础、实验室生物安全基础</w:t>
      </w:r>
      <w:r>
        <w:rPr>
          <w:rFonts w:eastAsia="方正仿宋_GBK" w:cs="方正仿宋_GBK" w:hint="eastAsia"/>
          <w:sz w:val="32"/>
          <w:szCs w:val="32"/>
        </w:rPr>
        <w:t>5</w:t>
      </w:r>
      <w:r>
        <w:rPr>
          <w:rFonts w:eastAsia="方正仿宋_GBK" w:cs="方正仿宋_GBK" w:hint="eastAsia"/>
          <w:sz w:val="32"/>
          <w:szCs w:val="32"/>
        </w:rPr>
        <w:t>门课程，强化学习者在特定学科场景下实验过程中的风险识别与规范操作。</w:t>
      </w:r>
    </w:p>
    <w:p w14:paraId="787F33F9" w14:textId="77777777" w:rsidR="00F321F4" w:rsidRDefault="00000000">
      <w:pPr>
        <w:pStyle w:val="a8"/>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（三）前沿交叉安全课程：</w:t>
      </w:r>
      <w:r>
        <w:rPr>
          <w:rFonts w:eastAsia="方正仿宋_GBK" w:cs="方正仿宋_GBK" w:hint="eastAsia"/>
          <w:sz w:val="32"/>
          <w:szCs w:val="32"/>
        </w:rPr>
        <w:t>聚焦交叉学科及前沿实验场景，包含电气与化学交叉实验安全、电气与生物交叉实验安全</w:t>
      </w:r>
      <w:r>
        <w:rPr>
          <w:rFonts w:eastAsia="方正仿宋_GBK" w:cs="方正仿宋_GBK" w:hint="eastAsia"/>
          <w:sz w:val="32"/>
          <w:szCs w:val="32"/>
        </w:rPr>
        <w:t>2</w:t>
      </w:r>
      <w:r>
        <w:rPr>
          <w:rFonts w:eastAsia="方正仿宋_GBK" w:cs="方正仿宋_GBK" w:hint="eastAsia"/>
          <w:sz w:val="32"/>
          <w:szCs w:val="32"/>
        </w:rPr>
        <w:t>门课程，系统培养学习者安全创新思维、跨领域技术视野与综合安全防控能力。</w:t>
      </w:r>
    </w:p>
    <w:p w14:paraId="42F9D76F" w14:textId="77777777" w:rsidR="00F321F4" w:rsidRDefault="00000000">
      <w:pPr>
        <w:spacing w:line="600" w:lineRule="exact"/>
        <w:ind w:firstLineChars="200" w:firstLine="640"/>
        <w:rPr>
          <w:rFonts w:eastAsia="方正黑体_GBK" w:cs="Times New Roman"/>
          <w:bCs/>
          <w:sz w:val="32"/>
          <w:szCs w:val="32"/>
        </w:rPr>
      </w:pPr>
      <w:r>
        <w:rPr>
          <w:rFonts w:eastAsia="方正黑体_GBK" w:cs="Times New Roman" w:hint="eastAsia"/>
          <w:bCs/>
          <w:sz w:val="32"/>
          <w:szCs w:val="32"/>
        </w:rPr>
        <w:t>三、学习方式</w:t>
      </w:r>
    </w:p>
    <w:p w14:paraId="05CAA075" w14:textId="77777777" w:rsidR="00F321F4" w:rsidRDefault="00000000">
      <w:pPr>
        <w:pStyle w:val="a8"/>
        <w:widowControl/>
        <w:adjustRightInd w:val="0"/>
        <w:snapToGrid w:val="0"/>
        <w:spacing w:beforeAutospacing="0" w:afterAutospacing="0" w:line="600" w:lineRule="exact"/>
        <w:ind w:firstLineChars="200" w:firstLine="640"/>
        <w:jc w:val="both"/>
        <w:rPr>
          <w:rFonts w:eastAsia="方正仿宋_GBK" w:cs="方正仿宋_GBK"/>
          <w:sz w:val="32"/>
          <w:szCs w:val="32"/>
        </w:rPr>
      </w:pPr>
      <w:r>
        <w:rPr>
          <w:rFonts w:eastAsia="方正仿宋_GBK" w:cs="方正仿宋_GBK" w:hint="eastAsia"/>
          <w:sz w:val="32"/>
          <w:szCs w:val="32"/>
        </w:rPr>
        <w:t>本次课程学习通过重庆高等教育智慧教育平台、重庆职业教育智慧教育平台统一组织实施，采取线上自主学习方式进行。师生可登录重庆高等教育智慧教育平台（</w:t>
      </w:r>
      <w:r>
        <w:rPr>
          <w:rFonts w:eastAsia="方正仿宋_GBK" w:cs="方正仿宋_GBK" w:hint="eastAsia"/>
          <w:sz w:val="32"/>
          <w:szCs w:val="32"/>
        </w:rPr>
        <w:t>http://www.cqooc.com</w:t>
      </w:r>
      <w:r>
        <w:rPr>
          <w:rFonts w:eastAsia="方正仿宋_GBK" w:cs="方正仿宋_GBK" w:hint="eastAsia"/>
          <w:sz w:val="32"/>
          <w:szCs w:val="32"/>
        </w:rPr>
        <w:t>）首页，点击“</w:t>
      </w:r>
      <w:r>
        <w:rPr>
          <w:rFonts w:eastAsia="方正仿宋_GBK" w:cs="方正仿宋_GBK" w:hint="eastAsia"/>
          <w:sz w:val="32"/>
          <w:szCs w:val="32"/>
        </w:rPr>
        <w:t>AI+XR</w:t>
      </w:r>
      <w:r>
        <w:rPr>
          <w:rFonts w:eastAsia="方正仿宋_GBK" w:cs="方正仿宋_GBK" w:hint="eastAsia"/>
          <w:sz w:val="32"/>
          <w:szCs w:val="32"/>
        </w:rPr>
        <w:t>实验室安全系列课程”专题栏目，跳转进入“实验空间”开展课程学习。各高校可根据师生培养要求和实际需要，有针对性地进行课程学习与考核。</w:t>
      </w:r>
    </w:p>
    <w:p w14:paraId="497A67E5" w14:textId="77777777" w:rsidR="00F321F4" w:rsidRDefault="00000000">
      <w:pPr>
        <w:spacing w:line="600" w:lineRule="exact"/>
        <w:ind w:firstLineChars="200" w:firstLine="640"/>
        <w:rPr>
          <w:rFonts w:eastAsia="方正黑体_GBK" w:cs="Times New Roman"/>
          <w:bCs/>
          <w:sz w:val="32"/>
          <w:szCs w:val="32"/>
        </w:rPr>
      </w:pPr>
      <w:r>
        <w:rPr>
          <w:rFonts w:eastAsia="方正黑体_GBK" w:cs="Times New Roman" w:hint="eastAsia"/>
          <w:bCs/>
          <w:sz w:val="32"/>
          <w:szCs w:val="32"/>
        </w:rPr>
        <w:lastRenderedPageBreak/>
        <w:t>四、有关要求</w:t>
      </w:r>
    </w:p>
    <w:p w14:paraId="77F0894A" w14:textId="77777777" w:rsidR="00F321F4" w:rsidRDefault="00000000">
      <w:pPr>
        <w:pStyle w:val="a8"/>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（一）认真组织实施。</w:t>
      </w:r>
      <w:r>
        <w:rPr>
          <w:rFonts w:eastAsia="方正仿宋_GBK" w:cs="方正仿宋_GBK" w:hint="eastAsia"/>
          <w:sz w:val="32"/>
          <w:szCs w:val="32"/>
        </w:rPr>
        <w:t>各高校要高度重视本次实验室安全教育培训，将其作为提升师生实验室安全素养与能力的重要举措，结合本校实际统筹安排，积极组织相关师生参与培训学习，确保应学尽学、学以致用。</w:t>
      </w:r>
    </w:p>
    <w:p w14:paraId="61CFD890" w14:textId="77777777" w:rsidR="00F321F4" w:rsidRDefault="00000000">
      <w:pPr>
        <w:pStyle w:val="a8"/>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（二）强化过程管理。</w:t>
      </w:r>
      <w:r>
        <w:rPr>
          <w:rFonts w:eastAsia="方正仿宋_GBK" w:cs="方正仿宋_GBK" w:hint="eastAsia"/>
          <w:sz w:val="32"/>
          <w:szCs w:val="32"/>
        </w:rPr>
        <w:t>鼓励各高校结合实验室安全准入管理、实验教学安排等工作，将课程学习纳入相关环节统筹实施，完善学习过程管理机制，做好学习数据的规范记录、统计与分析，建立长效工作机制。</w:t>
      </w:r>
    </w:p>
    <w:p w14:paraId="7DB3EFBD" w14:textId="77777777" w:rsidR="00F321F4" w:rsidRDefault="00000000">
      <w:pPr>
        <w:pStyle w:val="a8"/>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（三）注重结果运用。</w:t>
      </w:r>
      <w:r>
        <w:rPr>
          <w:rFonts w:eastAsia="方正仿宋_GBK" w:cs="方正仿宋_GBK" w:hint="eastAsia"/>
          <w:sz w:val="32"/>
          <w:szCs w:val="32"/>
        </w:rPr>
        <w:t>推动课程学习与实验室安全管理有机衔接、协同推进，将课程学习及考核结果作为实验室安全准入及相关教学评价的参考依据，以学促用、以学促管、以学促安，切实提升育人成效。</w:t>
      </w:r>
    </w:p>
    <w:p w14:paraId="7B012748" w14:textId="77777777" w:rsidR="00F321F4" w:rsidRDefault="00000000">
      <w:pPr>
        <w:pStyle w:val="a8"/>
        <w:widowControl/>
        <w:adjustRightInd w:val="0"/>
        <w:snapToGrid w:val="0"/>
        <w:spacing w:beforeAutospacing="0" w:afterAutospacing="0" w:line="600" w:lineRule="exact"/>
        <w:ind w:firstLineChars="200" w:firstLine="640"/>
        <w:jc w:val="both"/>
        <w:rPr>
          <w:rFonts w:eastAsia="方正仿宋_GBK" w:cs="方正仿宋_GBK"/>
          <w:sz w:val="32"/>
          <w:szCs w:val="32"/>
        </w:rPr>
      </w:pPr>
      <w:r>
        <w:rPr>
          <w:rFonts w:eastAsia="方正仿宋_GBK" w:cs="方正仿宋_GBK" w:hint="eastAsia"/>
          <w:sz w:val="32"/>
          <w:szCs w:val="32"/>
        </w:rPr>
        <w:t>联系人及电话：李翔（市教委高教处），</w:t>
      </w:r>
      <w:r>
        <w:rPr>
          <w:rFonts w:eastAsia="方正仿宋_GBK" w:cs="方正仿宋_GBK" w:hint="eastAsia"/>
          <w:sz w:val="32"/>
          <w:szCs w:val="32"/>
        </w:rPr>
        <w:t>63857512</w:t>
      </w:r>
      <w:r>
        <w:rPr>
          <w:rFonts w:eastAsia="方正仿宋_GBK" w:cs="方正仿宋_GBK" w:hint="eastAsia"/>
          <w:sz w:val="32"/>
          <w:szCs w:val="32"/>
        </w:rPr>
        <w:t>；王清瑶（“实验空间”技术支持），</w:t>
      </w:r>
      <w:r>
        <w:rPr>
          <w:rFonts w:eastAsia="方正仿宋_GBK" w:cs="方正仿宋_GBK" w:hint="eastAsia"/>
          <w:sz w:val="32"/>
          <w:szCs w:val="32"/>
        </w:rPr>
        <w:t>18008389895</w:t>
      </w:r>
      <w:r>
        <w:rPr>
          <w:rFonts w:eastAsia="方正仿宋_GBK" w:cs="方正仿宋_GBK" w:hint="eastAsia"/>
          <w:sz w:val="32"/>
          <w:szCs w:val="32"/>
        </w:rPr>
        <w:t>。</w:t>
      </w:r>
    </w:p>
    <w:p w14:paraId="764CFEA6" w14:textId="77777777" w:rsidR="00F321F4" w:rsidRDefault="00F321F4">
      <w:pPr>
        <w:pStyle w:val="a8"/>
        <w:widowControl/>
        <w:adjustRightInd w:val="0"/>
        <w:snapToGrid w:val="0"/>
        <w:spacing w:beforeAutospacing="0" w:afterAutospacing="0" w:line="600" w:lineRule="exact"/>
        <w:ind w:firstLineChars="200" w:firstLine="640"/>
        <w:jc w:val="both"/>
        <w:rPr>
          <w:rFonts w:eastAsia="方正仿宋_GBK" w:cs="方正仿宋_GBK"/>
          <w:sz w:val="32"/>
          <w:szCs w:val="32"/>
        </w:rPr>
      </w:pPr>
    </w:p>
    <w:p w14:paraId="02D20C23" w14:textId="77777777" w:rsidR="00F321F4" w:rsidRDefault="00F321F4">
      <w:pPr>
        <w:pStyle w:val="a8"/>
        <w:widowControl/>
        <w:adjustRightInd w:val="0"/>
        <w:snapToGrid w:val="0"/>
        <w:spacing w:beforeAutospacing="0" w:afterAutospacing="0" w:line="600" w:lineRule="exact"/>
        <w:ind w:firstLineChars="200" w:firstLine="640"/>
        <w:jc w:val="both"/>
        <w:rPr>
          <w:rFonts w:eastAsia="方正仿宋_GBK" w:cs="方正仿宋_GBK"/>
          <w:sz w:val="32"/>
          <w:szCs w:val="32"/>
        </w:rPr>
      </w:pPr>
    </w:p>
    <w:p w14:paraId="66E5B993" w14:textId="569D17BD" w:rsidR="00380D63" w:rsidRDefault="00380D63">
      <w:pPr>
        <w:pStyle w:val="a8"/>
        <w:widowControl/>
        <w:adjustRightInd w:val="0"/>
        <w:snapToGrid w:val="0"/>
        <w:spacing w:beforeAutospacing="0" w:afterAutospacing="0" w:line="600" w:lineRule="exact"/>
        <w:ind w:firstLineChars="200" w:firstLine="640"/>
        <w:jc w:val="both"/>
        <w:rPr>
          <w:rFonts w:eastAsia="方正仿宋_GBK" w:cs="方正仿宋_GBK" w:hint="eastAsia"/>
          <w:sz w:val="32"/>
          <w:szCs w:val="32"/>
        </w:rPr>
      </w:pPr>
      <w:r w:rsidRPr="00380D63">
        <w:rPr>
          <w:rFonts w:eastAsia="方正仿宋_GBK" w:cs="方正仿宋_GBK" w:hint="eastAsia"/>
          <w:sz w:val="32"/>
          <w:szCs w:val="32"/>
          <w:highlight w:val="yellow"/>
        </w:rPr>
        <w:t>李文博备注：学生学习纳入二课管理。</w:t>
      </w:r>
    </w:p>
    <w:p w14:paraId="13230BC5" w14:textId="77777777" w:rsidR="00380D63" w:rsidRDefault="00380D63">
      <w:pPr>
        <w:pStyle w:val="a8"/>
        <w:widowControl/>
        <w:adjustRightInd w:val="0"/>
        <w:snapToGrid w:val="0"/>
        <w:spacing w:beforeAutospacing="0" w:afterAutospacing="0" w:line="600" w:lineRule="exact"/>
        <w:ind w:firstLineChars="200" w:firstLine="640"/>
        <w:jc w:val="both"/>
        <w:rPr>
          <w:rFonts w:eastAsia="方正仿宋_GBK" w:cs="方正仿宋_GBK" w:hint="eastAsia"/>
          <w:sz w:val="32"/>
          <w:szCs w:val="32"/>
        </w:rPr>
      </w:pPr>
    </w:p>
    <w:p w14:paraId="4F28487F" w14:textId="77777777" w:rsidR="00F321F4" w:rsidRDefault="00000000">
      <w:pPr>
        <w:adjustRightInd w:val="0"/>
        <w:snapToGrid w:val="0"/>
        <w:spacing w:line="600" w:lineRule="exact"/>
        <w:ind w:rightChars="400" w:right="960" w:firstLineChars="200" w:firstLine="640"/>
        <w:jc w:val="right"/>
        <w:rPr>
          <w:rFonts w:eastAsia="方正仿宋_GBK" w:cs="方正仿宋_GBK"/>
          <w:sz w:val="32"/>
          <w:szCs w:val="32"/>
        </w:rPr>
      </w:pPr>
      <w:r>
        <w:rPr>
          <w:rFonts w:eastAsia="方正仿宋_GBK" w:cs="方正仿宋_GBK" w:hint="eastAsia"/>
          <w:sz w:val="32"/>
          <w:szCs w:val="32"/>
        </w:rPr>
        <w:t>重庆市教育委员会办公室</w:t>
      </w:r>
    </w:p>
    <w:p w14:paraId="5772094D" w14:textId="77777777" w:rsidR="00F321F4" w:rsidRDefault="00000000">
      <w:pPr>
        <w:adjustRightInd w:val="0"/>
        <w:snapToGrid w:val="0"/>
        <w:spacing w:line="600" w:lineRule="exact"/>
        <w:ind w:right="480" w:firstLineChars="200" w:firstLine="640"/>
        <w:rPr>
          <w:rFonts w:eastAsia="方正仿宋_GBK" w:cs="方正仿宋_GBK"/>
          <w:sz w:val="32"/>
          <w:szCs w:val="32"/>
        </w:rPr>
      </w:pPr>
      <w:r>
        <w:rPr>
          <w:rFonts w:eastAsia="方正仿宋_GBK" w:cs="方正仿宋_GBK" w:hint="eastAsia"/>
          <w:sz w:val="32"/>
          <w:szCs w:val="32"/>
        </w:rPr>
        <w:t xml:space="preserve">                            2026</w:t>
      </w:r>
      <w:r>
        <w:rPr>
          <w:rFonts w:eastAsia="方正仿宋_GBK" w:cs="方正仿宋_GBK" w:hint="eastAsia"/>
          <w:sz w:val="32"/>
          <w:szCs w:val="32"/>
        </w:rPr>
        <w:t>年</w:t>
      </w:r>
      <w:r>
        <w:rPr>
          <w:rFonts w:eastAsia="方正仿宋_GBK" w:cs="方正仿宋_GBK" w:hint="eastAsia"/>
          <w:sz w:val="32"/>
          <w:szCs w:val="32"/>
        </w:rPr>
        <w:t>4</w:t>
      </w:r>
      <w:r>
        <w:rPr>
          <w:rFonts w:eastAsia="方正仿宋_GBK" w:cs="方正仿宋_GBK" w:hint="eastAsia"/>
          <w:sz w:val="32"/>
          <w:szCs w:val="32"/>
        </w:rPr>
        <w:t>月</w:t>
      </w:r>
      <w:r>
        <w:rPr>
          <w:rFonts w:eastAsia="方正仿宋_GBK" w:cs="方正仿宋_GBK" w:hint="eastAsia"/>
          <w:sz w:val="32"/>
          <w:szCs w:val="32"/>
        </w:rPr>
        <w:t>9</w:t>
      </w:r>
      <w:r>
        <w:rPr>
          <w:rFonts w:eastAsia="方正仿宋_GBK" w:cs="方正仿宋_GBK" w:hint="eastAsia"/>
          <w:sz w:val="32"/>
          <w:szCs w:val="32"/>
        </w:rPr>
        <w:t>日</w:t>
      </w:r>
    </w:p>
    <w:p w14:paraId="4CDBC5A9" w14:textId="77777777" w:rsidR="00F321F4" w:rsidRDefault="00F321F4">
      <w:pPr>
        <w:adjustRightInd w:val="0"/>
        <w:snapToGrid w:val="0"/>
        <w:spacing w:line="600" w:lineRule="exact"/>
        <w:ind w:firstLineChars="200" w:firstLine="640"/>
        <w:rPr>
          <w:rFonts w:eastAsia="方正仿宋_GBK" w:cs="方正仿宋_GBK"/>
          <w:sz w:val="32"/>
          <w:szCs w:val="32"/>
        </w:rPr>
        <w:sectPr w:rsidR="00F321F4">
          <w:footerReference w:type="even" r:id="rId7"/>
          <w:footerReference w:type="default" r:id="rId8"/>
          <w:pgSz w:w="11906" w:h="16838"/>
          <w:pgMar w:top="1984" w:right="1446" w:bottom="1644" w:left="1446" w:header="851" w:footer="1247" w:gutter="0"/>
          <w:pgNumType w:fmt="numberInDash"/>
          <w:cols w:space="425"/>
          <w:titlePg/>
          <w:docGrid w:linePitch="600" w:charSpace="16778"/>
        </w:sectPr>
      </w:pPr>
    </w:p>
    <w:p w14:paraId="263AB372"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3502E818"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B8EA5BA"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3A78B593"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3DA9C8C"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34B48006"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0BA045DE"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1EA50767"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3C19C546"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3B1D384"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180C3490"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27494856"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168E4C8"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701DA8D1"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3CE243CD"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F4FDC46"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5C24A3D"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49A6D3B6"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2014C6E2"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581E96CE" w14:textId="77777777" w:rsidR="00F321F4" w:rsidRDefault="00F321F4">
      <w:pPr>
        <w:adjustRightInd w:val="0"/>
        <w:snapToGrid w:val="0"/>
        <w:spacing w:line="600" w:lineRule="exact"/>
        <w:ind w:firstLineChars="200" w:firstLine="640"/>
        <w:rPr>
          <w:rFonts w:eastAsia="方正仿宋_GBK" w:cs="方正仿宋_GBK"/>
          <w:sz w:val="32"/>
          <w:szCs w:val="32"/>
        </w:rPr>
      </w:pPr>
    </w:p>
    <w:p w14:paraId="288C3A59" w14:textId="77777777" w:rsidR="00F321F4" w:rsidRDefault="00000000">
      <w:pPr>
        <w:spacing w:line="600" w:lineRule="exact"/>
        <w:ind w:firstLineChars="225" w:firstLine="540"/>
        <w:rPr>
          <w:rFonts w:ascii="方正仿宋_GBK" w:eastAsia="方正仿宋_GBK"/>
          <w:sz w:val="28"/>
          <w:szCs w:val="28"/>
        </w:rPr>
      </w:pPr>
      <w:r>
        <w:rPr>
          <w:rFonts w:ascii="方正仿宋_GBK" w:eastAsia="方正仿宋_GBK" w:hint="eastAsia"/>
          <w:noProof/>
        </w:rPr>
        <mc:AlternateContent>
          <mc:Choice Requires="wps">
            <w:drawing>
              <wp:anchor distT="0" distB="0" distL="114300" distR="114300" simplePos="0" relativeHeight="251660288" behindDoc="0" locked="0" layoutInCell="1" allowOverlap="1" wp14:anchorId="79D3CEE9" wp14:editId="4DB5C617">
                <wp:simplePos x="0" y="0"/>
                <wp:positionH relativeFrom="column">
                  <wp:posOffset>138430</wp:posOffset>
                </wp:positionH>
                <wp:positionV relativeFrom="paragraph">
                  <wp:posOffset>0</wp:posOffset>
                </wp:positionV>
                <wp:extent cx="5400040" cy="0"/>
                <wp:effectExtent l="8890" t="12700" r="1079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9525">
                          <a:solidFill>
                            <a:srgbClr val="000000"/>
                          </a:solidFill>
                          <a:round/>
                        </a:ln>
                      </wps:spPr>
                      <wps:bodyPr/>
                    </wps:wsp>
                  </a:graphicData>
                </a:graphic>
              </wp:anchor>
            </w:drawing>
          </mc:Choice>
          <mc:Fallback>
            <w:pict>
              <v:line w14:anchorId="42702599" id="直接连接符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9pt,0" to="436.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"/>
            </w:pict>
          </mc:Fallback>
        </mc:AlternateContent>
      </w:r>
      <w:r>
        <w:rPr>
          <w:rFonts w:ascii="方正仿宋_GBK" w:eastAsia="方正仿宋_GBK" w:hint="eastAsia"/>
          <w:sz w:val="28"/>
          <w:szCs w:val="28"/>
        </w:rPr>
        <w:t>抄送：市教育技装中心。</w:t>
      </w:r>
    </w:p>
    <w:p w14:paraId="26A7362F" w14:textId="77777777" w:rsidR="00F321F4" w:rsidRDefault="00000000">
      <w:pPr>
        <w:tabs>
          <w:tab w:val="left" w:pos="8216"/>
          <w:tab w:val="left" w:pos="8690"/>
        </w:tabs>
        <w:spacing w:line="600" w:lineRule="exact"/>
        <w:ind w:firstLineChars="169" w:firstLine="473"/>
        <w:jc w:val="left"/>
        <w:rPr>
          <w:rFonts w:ascii="方正仿宋_GBK" w:eastAsia="方正仿宋_GBK"/>
          <w:sz w:val="28"/>
          <w:szCs w:val="28"/>
        </w:rPr>
      </w:pPr>
      <w:r>
        <w:rPr>
          <w:rFonts w:ascii="方正仿宋_GBK" w:eastAsia="方正仿宋_GBK" w:hint="eastAsia"/>
          <w:noProof/>
          <w:sz w:val="28"/>
          <w:szCs w:val="28"/>
        </w:rPr>
        <mc:AlternateContent>
          <mc:Choice Requires="wps">
            <w:drawing>
              <wp:anchor distT="0" distB="0" distL="114300" distR="114300" simplePos="0" relativeHeight="251662336" behindDoc="0" locked="0" layoutInCell="1" allowOverlap="1" wp14:anchorId="517D4D86" wp14:editId="4F140078">
                <wp:simplePos x="0" y="0"/>
                <wp:positionH relativeFrom="column">
                  <wp:posOffset>147955</wp:posOffset>
                </wp:positionH>
                <wp:positionV relativeFrom="paragraph">
                  <wp:posOffset>394335</wp:posOffset>
                </wp:positionV>
                <wp:extent cx="5400040" cy="0"/>
                <wp:effectExtent l="8890" t="6985" r="10795" b="1206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9525">
                          <a:solidFill>
                            <a:srgbClr val="000000"/>
                          </a:solidFill>
                          <a:round/>
                        </a:ln>
                      </wps:spPr>
                      <wps:bodyPr/>
                    </wps:wsp>
                  </a:graphicData>
                </a:graphic>
              </wp:anchor>
            </w:drawing>
          </mc:Choice>
          <mc:Fallback>
            <w:pict>
              <v:line w14:anchorId="6C33BBDC" id="直接连接符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65pt,31.05pt" to="436.8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"/>
            </w:pict>
          </mc:Fallback>
        </mc:AlternateContent>
      </w:r>
      <w:r>
        <w:rPr>
          <w:rFonts w:ascii="方正仿宋_GBK" w:eastAsia="方正仿宋_GBK" w:hint="eastAsia"/>
          <w:noProof/>
          <w:sz w:val="28"/>
          <w:szCs w:val="28"/>
        </w:rPr>
        <mc:AlternateContent>
          <mc:Choice Requires="wps">
            <w:drawing>
              <wp:anchor distT="0" distB="0" distL="114300" distR="114300" simplePos="0" relativeHeight="251661312" behindDoc="0" locked="0" layoutInCell="1" allowOverlap="1" wp14:anchorId="4D62DFEC" wp14:editId="653542E3">
                <wp:simplePos x="0" y="0"/>
                <wp:positionH relativeFrom="column">
                  <wp:posOffset>146685</wp:posOffset>
                </wp:positionH>
                <wp:positionV relativeFrom="paragraph">
                  <wp:posOffset>30480</wp:posOffset>
                </wp:positionV>
                <wp:extent cx="5400040" cy="0"/>
                <wp:effectExtent l="7620" t="5080" r="12065" b="1397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9525">
                          <a:solidFill>
                            <a:srgbClr val="000000"/>
                          </a:solidFill>
                          <a:round/>
                        </a:ln>
                      </wps:spPr>
                      <wps:bodyPr/>
                    </wps:wsp>
                  </a:graphicData>
                </a:graphic>
              </wp:anchor>
            </w:drawing>
          </mc:Choice>
          <mc:Fallback>
            <w:pict>
              <v:line w14:anchorId="1193DA9B" id="直接连接符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55pt,2.4pt" to="436.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"/>
            </w:pict>
          </mc:Fallback>
        </mc:AlternateContent>
      </w:r>
      <w:r>
        <w:rPr>
          <w:rFonts w:ascii="方正仿宋_GBK" w:eastAsia="方正仿宋_GBK" w:hint="eastAsia"/>
          <w:sz w:val="28"/>
          <w:szCs w:val="28"/>
        </w:rPr>
        <w:t>重庆市教育委员会办公室                2026年4月10日印发</w:t>
      </w:r>
    </w:p>
    <w:sectPr w:rsidR="00F321F4">
      <w:pgSz w:w="11906" w:h="16838"/>
      <w:pgMar w:top="1984" w:right="1446" w:bottom="1644" w:left="1446" w:header="851" w:footer="1247" w:gutter="0"/>
      <w:pgNumType w:fmt="numberInDash"/>
      <w:cols w:space="425"/>
      <w:titlePg/>
      <w:docGrid w:linePitch="600" w:charSpace="167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4AFAB" w14:textId="77777777" w:rsidR="00D201DA" w:rsidRDefault="00D201DA">
      <w:r>
        <w:separator/>
      </w:r>
    </w:p>
  </w:endnote>
  <w:endnote w:type="continuationSeparator" w:id="0">
    <w:p w14:paraId="574AE090" w14:textId="77777777" w:rsidR="00D201DA" w:rsidRDefault="00D2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方正仿宋_GBK">
    <w:altName w:val="汉仪仿宋KW"/>
    <w:panose1 w:val="03000509000000000000"/>
    <w:charset w:val="86"/>
    <w:family w:val="script"/>
    <w:pitch w:val="fixed"/>
    <w:sig w:usb0="00000001" w:usb1="080E0000" w:usb2="00000010" w:usb3="00000000" w:csb0="00040000" w:csb1="00000000"/>
  </w:font>
  <w:font w:name="方正黑体_GBK">
    <w:altName w:val="汉仪中黑KW"/>
    <w:panose1 w:val="03000509000000000000"/>
    <w:charset w:val="86"/>
    <w:family w:val="script"/>
    <w:pitch w:val="fixed"/>
    <w:sig w:usb0="00000001" w:usb1="080E0000" w:usb2="00000010" w:usb3="00000000" w:csb0="00040000" w:csb1="00000000"/>
  </w:font>
  <w:font w:name="方正小标宋_GBK">
    <w:altName w:val="汉仪书宋二KW"/>
    <w:panose1 w:val="03000509000000000000"/>
    <w:charset w:val="86"/>
    <w:family w:val="script"/>
    <w:pitch w:val="fixed"/>
    <w:sig w:usb0="00000001" w:usb1="080E0000" w:usb2="00000010" w:usb3="00000000" w:csb0="00040000" w:csb1="00000000"/>
  </w:font>
  <w:font w:name="方正楷体_GBK">
    <w:altName w:val="汉仪楷体KW"/>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25858"/>
      <w:docPartObj>
        <w:docPartGallery w:val="AutoText"/>
      </w:docPartObj>
    </w:sdtPr>
    <w:sdtEndPr>
      <w:rPr>
        <w:rFonts w:ascii="宋体" w:eastAsia="宋体" w:hAnsi="宋体" w:hint="eastAsia"/>
        <w:sz w:val="28"/>
      </w:rPr>
    </w:sdtEndPr>
    <w:sdtContent>
      <w:p w14:paraId="5EAEB5CC" w14:textId="77777777" w:rsidR="00F321F4" w:rsidRDefault="00000000">
        <w:pPr>
          <w:pStyle w:val="a5"/>
          <w:rPr>
            <w:rFonts w:ascii="宋体" w:eastAsia="宋体" w:hAnsi="宋体" w:hint="eastAsia"/>
            <w:sz w:val="28"/>
          </w:rPr>
        </w:pPr>
        <w:r>
          <w:rPr>
            <w:rFonts w:ascii="宋体" w:eastAsia="宋体" w:hAnsi="宋体" w:hint="eastAsia"/>
            <w:sz w:val="28"/>
          </w:rPr>
          <w:fldChar w:fldCharType="begin"/>
        </w:r>
        <w:r>
          <w:rPr>
            <w:rFonts w:ascii="宋体" w:eastAsia="宋体" w:hAnsi="宋体" w:hint="eastAsia"/>
            <w:sz w:val="28"/>
          </w:rPr>
          <w:instrText>PAGE   \* MERGEFORMAT</w:instrText>
        </w:r>
        <w:r>
          <w:rPr>
            <w:rFonts w:ascii="宋体" w:eastAsia="宋体" w:hAnsi="宋体" w:hint="eastAsia"/>
            <w:sz w:val="28"/>
          </w:rPr>
          <w:fldChar w:fldCharType="separate"/>
        </w:r>
        <w:r>
          <w:rPr>
            <w:rFonts w:ascii="宋体" w:eastAsia="宋体" w:hAnsi="宋体"/>
            <w:sz w:val="28"/>
            <w:lang w:val="zh-CN"/>
          </w:rPr>
          <w:t>-</w:t>
        </w:r>
        <w:r>
          <w:rPr>
            <w:rFonts w:ascii="宋体" w:eastAsia="宋体" w:hAnsi="宋体"/>
            <w:sz w:val="28"/>
          </w:rPr>
          <w:t xml:space="preserve"> 2 -</w:t>
        </w:r>
        <w:r>
          <w:rPr>
            <w:rFonts w:ascii="宋体" w:eastAsia="宋体" w:hAnsi="宋体" w:hint="eastAsia"/>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164793"/>
      <w:docPartObj>
        <w:docPartGallery w:val="AutoText"/>
      </w:docPartObj>
    </w:sdtPr>
    <w:sdtEndPr>
      <w:rPr>
        <w:rFonts w:ascii="宋体" w:eastAsia="宋体" w:hAnsi="宋体"/>
        <w:sz w:val="28"/>
      </w:rPr>
    </w:sdtEndPr>
    <w:sdtContent>
      <w:p w14:paraId="4AA8EC4F" w14:textId="77777777" w:rsidR="00F321F4" w:rsidRDefault="00000000">
        <w:pPr>
          <w:pStyle w:val="a5"/>
          <w:jc w:val="right"/>
          <w:rPr>
            <w:rFonts w:ascii="宋体" w:eastAsia="宋体" w:hAnsi="宋体" w:hint="eastAsia"/>
            <w:sz w:val="28"/>
          </w:rPr>
        </w:pPr>
        <w:r>
          <w:rPr>
            <w:rFonts w:ascii="宋体" w:eastAsia="宋体" w:hAnsi="宋体"/>
            <w:sz w:val="28"/>
          </w:rPr>
          <w:fldChar w:fldCharType="begin"/>
        </w:r>
        <w:r>
          <w:rPr>
            <w:rFonts w:ascii="宋体" w:eastAsia="宋体" w:hAnsi="宋体"/>
            <w:sz w:val="28"/>
          </w:rPr>
          <w:instrText>PAGE   \* MERGEFORMAT</w:instrText>
        </w:r>
        <w:r>
          <w:rPr>
            <w:rFonts w:ascii="宋体" w:eastAsia="宋体" w:hAnsi="宋体"/>
            <w:sz w:val="28"/>
          </w:rPr>
          <w:fldChar w:fldCharType="separate"/>
        </w:r>
        <w:r>
          <w:rPr>
            <w:rFonts w:ascii="宋体" w:eastAsia="宋体" w:hAnsi="宋体"/>
            <w:sz w:val="28"/>
            <w:lang w:val="zh-CN"/>
          </w:rPr>
          <w:t>-</w:t>
        </w:r>
        <w:r>
          <w:rPr>
            <w:rFonts w:ascii="宋体" w:eastAsia="宋体" w:hAnsi="宋体"/>
            <w:sz w:val="28"/>
          </w:rPr>
          <w:t xml:space="preserve"> 3 -</w:t>
        </w:r>
        <w:r>
          <w:rPr>
            <w:rFonts w:ascii="宋体" w:eastAsia="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3D210" w14:textId="77777777" w:rsidR="00D201DA" w:rsidRDefault="00D201DA">
      <w:r>
        <w:separator/>
      </w:r>
    </w:p>
  </w:footnote>
  <w:footnote w:type="continuationSeparator" w:id="0">
    <w:p w14:paraId="5297FEF2" w14:textId="77777777" w:rsidR="00D201DA" w:rsidRDefault="00D201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cumentProtection w:edit="readOnly" w:enforcement="0"/>
  <w:defaultTabStop w:val="420"/>
  <w:evenAndOddHeaders/>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5D32B7B"/>
    <w:rsid w:val="BF4FD078"/>
    <w:rsid w:val="000247DF"/>
    <w:rsid w:val="000321B3"/>
    <w:rsid w:val="00052B41"/>
    <w:rsid w:val="001022A6"/>
    <w:rsid w:val="00196DA8"/>
    <w:rsid w:val="0021105A"/>
    <w:rsid w:val="002175F2"/>
    <w:rsid w:val="00246874"/>
    <w:rsid w:val="00264D9F"/>
    <w:rsid w:val="002705B1"/>
    <w:rsid w:val="002B2370"/>
    <w:rsid w:val="002E7A06"/>
    <w:rsid w:val="00380D63"/>
    <w:rsid w:val="00395F5B"/>
    <w:rsid w:val="003F0BF7"/>
    <w:rsid w:val="00424CD7"/>
    <w:rsid w:val="005E524E"/>
    <w:rsid w:val="006647CE"/>
    <w:rsid w:val="006B6FD1"/>
    <w:rsid w:val="007360B4"/>
    <w:rsid w:val="007C28B8"/>
    <w:rsid w:val="009922F3"/>
    <w:rsid w:val="009D57E4"/>
    <w:rsid w:val="009E10FA"/>
    <w:rsid w:val="00B65026"/>
    <w:rsid w:val="00C20199"/>
    <w:rsid w:val="00D201DA"/>
    <w:rsid w:val="00D57D07"/>
    <w:rsid w:val="00DB5727"/>
    <w:rsid w:val="00DC4D38"/>
    <w:rsid w:val="00EA058C"/>
    <w:rsid w:val="00EB5FB2"/>
    <w:rsid w:val="00ED0FCC"/>
    <w:rsid w:val="00F321F4"/>
    <w:rsid w:val="02111B48"/>
    <w:rsid w:val="02B349AE"/>
    <w:rsid w:val="03047442"/>
    <w:rsid w:val="03280EF8"/>
    <w:rsid w:val="03E13EF3"/>
    <w:rsid w:val="03EC63C9"/>
    <w:rsid w:val="04730C2E"/>
    <w:rsid w:val="04AC7907"/>
    <w:rsid w:val="04AE367F"/>
    <w:rsid w:val="04FE17BB"/>
    <w:rsid w:val="056D178C"/>
    <w:rsid w:val="05B44CC5"/>
    <w:rsid w:val="06A116ED"/>
    <w:rsid w:val="07E01DA1"/>
    <w:rsid w:val="087C3466"/>
    <w:rsid w:val="09615163"/>
    <w:rsid w:val="09C556F2"/>
    <w:rsid w:val="09D678FF"/>
    <w:rsid w:val="0A2C751F"/>
    <w:rsid w:val="0A9C3C41"/>
    <w:rsid w:val="0BB05F2E"/>
    <w:rsid w:val="0D7C6A10"/>
    <w:rsid w:val="0E7C659C"/>
    <w:rsid w:val="0ED308B1"/>
    <w:rsid w:val="0EF82120"/>
    <w:rsid w:val="10243A61"/>
    <w:rsid w:val="124243FD"/>
    <w:rsid w:val="12B97DBE"/>
    <w:rsid w:val="13001549"/>
    <w:rsid w:val="13182D37"/>
    <w:rsid w:val="13573133"/>
    <w:rsid w:val="13CC1D73"/>
    <w:rsid w:val="141C15BA"/>
    <w:rsid w:val="145A112D"/>
    <w:rsid w:val="15512530"/>
    <w:rsid w:val="15BA6327"/>
    <w:rsid w:val="15F333DA"/>
    <w:rsid w:val="16EA5E33"/>
    <w:rsid w:val="18205602"/>
    <w:rsid w:val="18697B91"/>
    <w:rsid w:val="18736C61"/>
    <w:rsid w:val="189972E0"/>
    <w:rsid w:val="18F2402A"/>
    <w:rsid w:val="1A023DF9"/>
    <w:rsid w:val="1A9F789A"/>
    <w:rsid w:val="1BD619E1"/>
    <w:rsid w:val="1BDE2644"/>
    <w:rsid w:val="1C452B63"/>
    <w:rsid w:val="1C56042C"/>
    <w:rsid w:val="1C7B4336"/>
    <w:rsid w:val="1C9176B6"/>
    <w:rsid w:val="1D47582D"/>
    <w:rsid w:val="1D5C1A72"/>
    <w:rsid w:val="1E0740D4"/>
    <w:rsid w:val="1E193E07"/>
    <w:rsid w:val="1EA81514"/>
    <w:rsid w:val="1EE2244B"/>
    <w:rsid w:val="1F5A46D7"/>
    <w:rsid w:val="21B46321"/>
    <w:rsid w:val="239A7BC8"/>
    <w:rsid w:val="24B25E39"/>
    <w:rsid w:val="24C820E3"/>
    <w:rsid w:val="25284930"/>
    <w:rsid w:val="263E265D"/>
    <w:rsid w:val="263E440B"/>
    <w:rsid w:val="26C32B62"/>
    <w:rsid w:val="2734580E"/>
    <w:rsid w:val="27AB1F74"/>
    <w:rsid w:val="27D25752"/>
    <w:rsid w:val="28637CFA"/>
    <w:rsid w:val="28DB0637"/>
    <w:rsid w:val="28EA2628"/>
    <w:rsid w:val="2A6660C1"/>
    <w:rsid w:val="2AC31382"/>
    <w:rsid w:val="2AFE060C"/>
    <w:rsid w:val="2BDE3F9A"/>
    <w:rsid w:val="2C6B3A80"/>
    <w:rsid w:val="2C884632"/>
    <w:rsid w:val="2E3A5DFF"/>
    <w:rsid w:val="2F3C5E67"/>
    <w:rsid w:val="30782C0F"/>
    <w:rsid w:val="30861CF0"/>
    <w:rsid w:val="30A734F4"/>
    <w:rsid w:val="30E164F9"/>
    <w:rsid w:val="314A45AB"/>
    <w:rsid w:val="319C292D"/>
    <w:rsid w:val="319F5F79"/>
    <w:rsid w:val="31C75BFC"/>
    <w:rsid w:val="33BA709B"/>
    <w:rsid w:val="34B63D06"/>
    <w:rsid w:val="356D0868"/>
    <w:rsid w:val="36460DC5"/>
    <w:rsid w:val="368D0806"/>
    <w:rsid w:val="375717D0"/>
    <w:rsid w:val="37677539"/>
    <w:rsid w:val="377B46F5"/>
    <w:rsid w:val="385775AE"/>
    <w:rsid w:val="38F2694B"/>
    <w:rsid w:val="38FB6F08"/>
    <w:rsid w:val="3A053765"/>
    <w:rsid w:val="3AAF722D"/>
    <w:rsid w:val="3B031466"/>
    <w:rsid w:val="3B893FFA"/>
    <w:rsid w:val="3BE253E0"/>
    <w:rsid w:val="3C02537B"/>
    <w:rsid w:val="3D335711"/>
    <w:rsid w:val="3F0F473E"/>
    <w:rsid w:val="3F8F8B27"/>
    <w:rsid w:val="40640ABA"/>
    <w:rsid w:val="4132438B"/>
    <w:rsid w:val="417D58F7"/>
    <w:rsid w:val="418C02C8"/>
    <w:rsid w:val="439D4A0F"/>
    <w:rsid w:val="44D24FDB"/>
    <w:rsid w:val="45D32B7B"/>
    <w:rsid w:val="46A77952"/>
    <w:rsid w:val="46DA1AD6"/>
    <w:rsid w:val="479C6D8B"/>
    <w:rsid w:val="47DC187E"/>
    <w:rsid w:val="4A286032"/>
    <w:rsid w:val="4B3A0D95"/>
    <w:rsid w:val="4C714C8A"/>
    <w:rsid w:val="4CAF57B3"/>
    <w:rsid w:val="4D862070"/>
    <w:rsid w:val="4D97427D"/>
    <w:rsid w:val="4E0E53DC"/>
    <w:rsid w:val="4E320449"/>
    <w:rsid w:val="4E345F70"/>
    <w:rsid w:val="4E5B79A0"/>
    <w:rsid w:val="4F1F6CF3"/>
    <w:rsid w:val="4F4E4E0F"/>
    <w:rsid w:val="4FB32C07"/>
    <w:rsid w:val="502D711A"/>
    <w:rsid w:val="508B5BEF"/>
    <w:rsid w:val="50A078EC"/>
    <w:rsid w:val="532C190B"/>
    <w:rsid w:val="53430A03"/>
    <w:rsid w:val="53937719"/>
    <w:rsid w:val="53E45D42"/>
    <w:rsid w:val="54336CC9"/>
    <w:rsid w:val="57E52089"/>
    <w:rsid w:val="589B7E1A"/>
    <w:rsid w:val="592D1F39"/>
    <w:rsid w:val="5AE215A7"/>
    <w:rsid w:val="5B1909C7"/>
    <w:rsid w:val="5BB56ECC"/>
    <w:rsid w:val="5C7B120D"/>
    <w:rsid w:val="5CFE60C6"/>
    <w:rsid w:val="5DB70023"/>
    <w:rsid w:val="5DBA7B13"/>
    <w:rsid w:val="5DEF3C61"/>
    <w:rsid w:val="5EFF2557"/>
    <w:rsid w:val="5F4D6E91"/>
    <w:rsid w:val="60410FB0"/>
    <w:rsid w:val="61446072"/>
    <w:rsid w:val="63422A85"/>
    <w:rsid w:val="638C3D00"/>
    <w:rsid w:val="644B5969"/>
    <w:rsid w:val="64992B79"/>
    <w:rsid w:val="649A40E6"/>
    <w:rsid w:val="64F91EF5"/>
    <w:rsid w:val="64FD6C64"/>
    <w:rsid w:val="65ED4F2A"/>
    <w:rsid w:val="66255A45"/>
    <w:rsid w:val="66903B07"/>
    <w:rsid w:val="66BC48FC"/>
    <w:rsid w:val="66DE04FB"/>
    <w:rsid w:val="67530DBD"/>
    <w:rsid w:val="67E45EB9"/>
    <w:rsid w:val="683A0C71"/>
    <w:rsid w:val="6864524C"/>
    <w:rsid w:val="68D40619"/>
    <w:rsid w:val="696372B1"/>
    <w:rsid w:val="69807E63"/>
    <w:rsid w:val="69913E1E"/>
    <w:rsid w:val="69C735C3"/>
    <w:rsid w:val="6AEA1A38"/>
    <w:rsid w:val="6B230079"/>
    <w:rsid w:val="6B2667E8"/>
    <w:rsid w:val="6B853A16"/>
    <w:rsid w:val="6B8C6F93"/>
    <w:rsid w:val="6BC634AB"/>
    <w:rsid w:val="6BD0415A"/>
    <w:rsid w:val="6BDA5F51"/>
    <w:rsid w:val="6BF318CA"/>
    <w:rsid w:val="6C3F187F"/>
    <w:rsid w:val="6CB5686E"/>
    <w:rsid w:val="6CCD7863"/>
    <w:rsid w:val="6EDC04F7"/>
    <w:rsid w:val="6F215C44"/>
    <w:rsid w:val="6F4D6A39"/>
    <w:rsid w:val="6F8F2BAE"/>
    <w:rsid w:val="6FDB2297"/>
    <w:rsid w:val="6FE729EA"/>
    <w:rsid w:val="70115CB9"/>
    <w:rsid w:val="70533D2C"/>
    <w:rsid w:val="70AD6FF9"/>
    <w:rsid w:val="71970440"/>
    <w:rsid w:val="720930EC"/>
    <w:rsid w:val="72277E61"/>
    <w:rsid w:val="724E1389"/>
    <w:rsid w:val="72CC4119"/>
    <w:rsid w:val="72E15E16"/>
    <w:rsid w:val="75045DEC"/>
    <w:rsid w:val="75F0011F"/>
    <w:rsid w:val="773F1043"/>
    <w:rsid w:val="77843214"/>
    <w:rsid w:val="77EE068E"/>
    <w:rsid w:val="77FF289B"/>
    <w:rsid w:val="781C169F"/>
    <w:rsid w:val="78874D6A"/>
    <w:rsid w:val="79297BCF"/>
    <w:rsid w:val="794E7636"/>
    <w:rsid w:val="7B62561B"/>
    <w:rsid w:val="7C0972AA"/>
    <w:rsid w:val="7C224DAA"/>
    <w:rsid w:val="7C9E6B26"/>
    <w:rsid w:val="7D937D0D"/>
    <w:rsid w:val="7DE95B7F"/>
    <w:rsid w:val="7EB7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fillcolor="white">
      <v:fill color="white"/>
    </o:shapedefaults>
    <o:shapelayout v:ext="edit">
      <o:idmap v:ext="edit" data="1"/>
    </o:shapelayout>
  </w:shapeDefaults>
  <w:decimalSymbol w:val="."/>
  <w:listSeparator w:val=","/>
  <w14:docId w14:val="246AA56C"/>
  <w15:docId w15:val="{2479B1E3-E870-44B8-AA28-3CC602AA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Autospacing="1"/>
      <w:jc w:val="left"/>
    </w:pPr>
    <w:rPr>
      <w:rFonts w:cs="Times New Roman"/>
      <w:kern w:val="0"/>
    </w:rPr>
  </w:style>
  <w:style w:type="character" w:customStyle="1" w:styleId="a4">
    <w:name w:val="批注框文本 字符"/>
    <w:basedOn w:val="a0"/>
    <w:link w:val="a3"/>
    <w:qFormat/>
    <w:rPr>
      <w:rFonts w:ascii="Times New Roman" w:hAnsi="Times New Roman"/>
      <w:kern w:val="2"/>
      <w:sz w:val="18"/>
      <w:szCs w:val="18"/>
    </w:rPr>
  </w:style>
  <w:style w:type="character" w:customStyle="1" w:styleId="a6">
    <w:name w:val="页脚 字符"/>
    <w:basedOn w:val="a0"/>
    <w:link w:val="a5"/>
    <w:uiPriority w:val="99"/>
    <w:qFormat/>
    <w:rPr>
      <w:rFonts w:ascii="Times New Roman" w:hAnsi="Times New Roman"/>
      <w:kern w:val="2"/>
      <w:sz w:val="18"/>
      <w:szCs w:val="24"/>
    </w:rPr>
  </w:style>
  <w:style w:type="paragraph" w:customStyle="1" w:styleId="CharCharCharChar">
    <w:name w:val="Char Char Char Char"/>
    <w:basedOn w:val="a"/>
    <w:qFormat/>
    <w:rPr>
      <w:rFonts w:ascii="Tahoma" w:eastAsia="宋体" w:hAnsi="Tahom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667</Words>
  <Characters>701</Characters>
  <Application>Microsoft Office Word</Application>
  <DocSecurity>0</DocSecurity>
  <Lines>50</Lines>
  <Paragraphs>25</Paragraphs>
  <ScaleCrop>false</ScaleCrop>
  <Company>cqjw</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物皆有时</dc:creator>
  <cp:lastModifiedBy>李文博</cp:lastModifiedBy>
  <cp:revision>2</cp:revision>
  <cp:lastPrinted>2026-04-10T10:39:00Z</cp:lastPrinted>
  <dcterms:created xsi:type="dcterms:W3CDTF">2026-04-10T17:26:00Z</dcterms:created>
  <dcterms:modified xsi:type="dcterms:W3CDTF">2026-08-29T09:51:00Z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F1401B3E1CC4DFA14AC4DD694D79EC2D_43</vt:lpwstr>
  </property>
  <property fmtid="{D5CDD505-2E9C-101B-9397-08002B2CF9AE}" pid="4" name="KSOTemplateDocerSaveRecord">
    <vt:lpwstr>eyJoZGlkIjoiMmU4MmQ2OWY5MDI4OGNjNGI2OGEzYjVlNTg1NjQzZWQiLCJ1c2VySWQiOiIzNDA0NDM4MjMifQ==</vt:lpwstr>
  </property>
</Properties>
</file>